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3CEC" w14:textId="77777777" w:rsidR="0075462C" w:rsidRDefault="0075462C" w:rsidP="0075462C">
      <w:pPr>
        <w:pStyle w:val="IssueVolumeDate-Professional"/>
        <w:pBdr>
          <w:left w:val="single" w:sz="6" w:space="2" w:color="auto"/>
          <w:right w:val="single" w:sz="6" w:space="7" w:color="auto"/>
        </w:pBdr>
        <w:ind w:left="567"/>
      </w:pPr>
      <w:r>
        <w:rPr>
          <w:noProof/>
          <w:lang w:val="en-GB" w:eastAsia="en-GB"/>
        </w:rPr>
        <w:drawing>
          <wp:inline distT="0" distB="0" distL="0" distR="0" wp14:anchorId="73A79477" wp14:editId="2A5C39C6">
            <wp:extent cx="6589395" cy="577215"/>
            <wp:effectExtent l="0" t="0" r="1905" b="0"/>
            <wp:docPr id="2" name="Picture 2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2" b="4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901" cy="58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Calligraphy" w:hAnsi="Lucida Calligraphy"/>
          <w:sz w:val="36"/>
          <w:szCs w:val="36"/>
        </w:rPr>
        <w:t>Narrowing the gap; unlocking the potential…</w:t>
      </w:r>
    </w:p>
    <w:p w14:paraId="6CAFF050" w14:textId="77777777" w:rsidR="0075462C" w:rsidRDefault="0075462C" w:rsidP="0075462C">
      <w:pPr>
        <w:rPr>
          <w:noProof/>
          <w:szCs w:val="22"/>
          <w:lang w:eastAsia="en-GB"/>
        </w:rPr>
      </w:pPr>
    </w:p>
    <w:p w14:paraId="34A33150" w14:textId="5D8089B7" w:rsidR="0075462C" w:rsidRDefault="0075462C" w:rsidP="0075462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Impact Review</w:t>
      </w:r>
      <w:r w:rsidRPr="0051312B">
        <w:rPr>
          <w:b/>
          <w:bCs/>
          <w:sz w:val="32"/>
          <w:szCs w:val="32"/>
          <w:u w:val="single"/>
        </w:rPr>
        <w:t xml:space="preserve"> of P</w:t>
      </w:r>
      <w:r>
        <w:rPr>
          <w:b/>
          <w:bCs/>
          <w:sz w:val="32"/>
          <w:szCs w:val="32"/>
          <w:u w:val="single"/>
        </w:rPr>
        <w:t>upil Premium Expenditure to 202</w:t>
      </w:r>
      <w:r w:rsidR="009A3608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 xml:space="preserve"> – 2</w:t>
      </w:r>
      <w:r w:rsidR="009A3608">
        <w:rPr>
          <w:b/>
          <w:bCs/>
          <w:sz w:val="32"/>
          <w:szCs w:val="32"/>
          <w:u w:val="single"/>
        </w:rPr>
        <w:t>4</w:t>
      </w:r>
    </w:p>
    <w:tbl>
      <w:tblPr>
        <w:tblW w:w="1059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8207"/>
        <w:gridCol w:w="2388"/>
      </w:tblGrid>
      <w:tr w:rsidR="0075462C" w:rsidRPr="00467E55" w14:paraId="0A2ED599" w14:textId="77777777" w:rsidTr="0075462C">
        <w:trPr>
          <w:trHeight w:val="821"/>
        </w:trPr>
        <w:tc>
          <w:tcPr>
            <w:tcW w:w="10595" w:type="dxa"/>
            <w:gridSpan w:val="2"/>
            <w:shd w:val="clear" w:color="auto" w:fill="FF0000"/>
            <w:vAlign w:val="center"/>
          </w:tcPr>
          <w:p w14:paraId="72FA5F81" w14:textId="0A8526C7" w:rsidR="0075462C" w:rsidRPr="00467E55" w:rsidRDefault="0075462C" w:rsidP="00FF7238">
            <w:pPr>
              <w:spacing w:after="0"/>
              <w:rPr>
                <w:sz w:val="22"/>
                <w:szCs w:val="22"/>
              </w:rPr>
            </w:pPr>
            <w:r w:rsidRPr="00467E55">
              <w:rPr>
                <w:b/>
                <w:bCs/>
                <w:sz w:val="22"/>
                <w:szCs w:val="22"/>
              </w:rPr>
              <w:t>Number of pupils and pupil premium grant (PPG) received</w:t>
            </w:r>
            <w:r>
              <w:rPr>
                <w:b/>
                <w:bCs/>
                <w:sz w:val="22"/>
                <w:szCs w:val="22"/>
              </w:rPr>
              <w:t>: Academic Year 202</w:t>
            </w:r>
            <w:r w:rsidR="009A360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/ 2</w:t>
            </w:r>
            <w:r w:rsidR="009A360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A3608" w:rsidRPr="00EC7408" w14:paraId="739E3905" w14:textId="77777777" w:rsidTr="00337D29">
        <w:trPr>
          <w:trHeight w:val="370"/>
        </w:trPr>
        <w:tc>
          <w:tcPr>
            <w:tcW w:w="8207" w:type="dxa"/>
          </w:tcPr>
          <w:p w14:paraId="41C4FA44" w14:textId="59337921" w:rsidR="009A3608" w:rsidRPr="00467E55" w:rsidRDefault="009A3608" w:rsidP="009A3608">
            <w:pPr>
              <w:spacing w:after="0"/>
            </w:pPr>
            <w:r w:rsidRPr="00BF077D">
              <w:t>Total number of pupils on roll</w:t>
            </w:r>
          </w:p>
        </w:tc>
        <w:tc>
          <w:tcPr>
            <w:tcW w:w="2388" w:type="dxa"/>
          </w:tcPr>
          <w:p w14:paraId="3CC1D892" w14:textId="26BAD390" w:rsidR="009A3608" w:rsidRPr="0075462C" w:rsidRDefault="009A3608" w:rsidP="009A3608">
            <w:pPr>
              <w:spacing w:after="0"/>
            </w:pPr>
            <w:r w:rsidRPr="00BF077D">
              <w:t>280</w:t>
            </w:r>
          </w:p>
        </w:tc>
      </w:tr>
      <w:tr w:rsidR="009A3608" w:rsidRPr="00EC7408" w14:paraId="2F195BA6" w14:textId="77777777" w:rsidTr="00337D29">
        <w:trPr>
          <w:trHeight w:val="463"/>
        </w:trPr>
        <w:tc>
          <w:tcPr>
            <w:tcW w:w="8207" w:type="dxa"/>
          </w:tcPr>
          <w:p w14:paraId="16078792" w14:textId="6852F65B" w:rsidR="009A3608" w:rsidRPr="00467E55" w:rsidRDefault="009A3608" w:rsidP="009A3608">
            <w:pPr>
              <w:spacing w:after="0"/>
            </w:pPr>
            <w:r w:rsidRPr="00BF077D">
              <w:t>Total number of pupils Free School Meal (Census 27 pupils)</w:t>
            </w:r>
          </w:p>
        </w:tc>
        <w:tc>
          <w:tcPr>
            <w:tcW w:w="2388" w:type="dxa"/>
          </w:tcPr>
          <w:p w14:paraId="39E8B29F" w14:textId="01DE8F3C" w:rsidR="009A3608" w:rsidRPr="009A3608" w:rsidRDefault="009A3608" w:rsidP="009A3608">
            <w:pPr>
              <w:spacing w:after="0"/>
            </w:pPr>
            <w:r w:rsidRPr="009A3608">
              <w:t>41 (£1385)</w:t>
            </w:r>
          </w:p>
        </w:tc>
      </w:tr>
      <w:tr w:rsidR="009A3608" w:rsidRPr="00EC7408" w14:paraId="06116CB4" w14:textId="77777777" w:rsidTr="00337D29">
        <w:trPr>
          <w:trHeight w:val="315"/>
        </w:trPr>
        <w:tc>
          <w:tcPr>
            <w:tcW w:w="8207" w:type="dxa"/>
          </w:tcPr>
          <w:p w14:paraId="5BFC3441" w14:textId="3FF35A06" w:rsidR="009A3608" w:rsidRDefault="009A3608" w:rsidP="009A3608">
            <w:pPr>
              <w:spacing w:after="0"/>
            </w:pPr>
            <w:r w:rsidRPr="00BF077D">
              <w:t xml:space="preserve">National Tutoring </w:t>
            </w:r>
            <w:proofErr w:type="gramStart"/>
            <w:r w:rsidRPr="00BF077D">
              <w:t>Programme  (</w:t>
            </w:r>
            <w:proofErr w:type="gramEnd"/>
            <w:r w:rsidRPr="00BF077D">
              <w:t>£67.50 per eligible pupil)</w:t>
            </w:r>
          </w:p>
        </w:tc>
        <w:tc>
          <w:tcPr>
            <w:tcW w:w="2388" w:type="dxa"/>
          </w:tcPr>
          <w:p w14:paraId="756D8843" w14:textId="75D17FE1" w:rsidR="009A3608" w:rsidRPr="0075462C" w:rsidRDefault="009A3608" w:rsidP="009A3608">
            <w:pPr>
              <w:spacing w:after="0"/>
            </w:pPr>
            <w:r w:rsidRPr="00BF077D">
              <w:t>£2767.50</w:t>
            </w:r>
          </w:p>
        </w:tc>
      </w:tr>
      <w:tr w:rsidR="009A3608" w:rsidRPr="00EC7408" w14:paraId="36D3709A" w14:textId="77777777" w:rsidTr="00337D29">
        <w:trPr>
          <w:trHeight w:val="212"/>
        </w:trPr>
        <w:tc>
          <w:tcPr>
            <w:tcW w:w="8207" w:type="dxa"/>
          </w:tcPr>
          <w:p w14:paraId="6583DA54" w14:textId="0123C391" w:rsidR="009A3608" w:rsidRDefault="009A3608" w:rsidP="009A3608">
            <w:pPr>
              <w:spacing w:after="0" w:line="240" w:lineRule="auto"/>
            </w:pPr>
            <w:r w:rsidRPr="00BF077D">
              <w:t>Total Pupils eligible for Armed Services Ever 4</w:t>
            </w:r>
          </w:p>
        </w:tc>
        <w:tc>
          <w:tcPr>
            <w:tcW w:w="2388" w:type="dxa"/>
          </w:tcPr>
          <w:p w14:paraId="6F980A63" w14:textId="541249A5" w:rsidR="009A3608" w:rsidRPr="0075462C" w:rsidRDefault="009A3608" w:rsidP="009A3608">
            <w:pPr>
              <w:spacing w:after="0"/>
            </w:pPr>
            <w:r w:rsidRPr="00BF077D">
              <w:t>2 (£320 per pupil)</w:t>
            </w:r>
          </w:p>
        </w:tc>
      </w:tr>
      <w:tr w:rsidR="009A3608" w14:paraId="3D125BBE" w14:textId="77777777" w:rsidTr="00337D29">
        <w:trPr>
          <w:trHeight w:val="349"/>
        </w:trPr>
        <w:tc>
          <w:tcPr>
            <w:tcW w:w="8207" w:type="dxa"/>
          </w:tcPr>
          <w:p w14:paraId="68938881" w14:textId="5CA03314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>Virtual Headteacher (contribution for mental health)</w:t>
            </w:r>
          </w:p>
        </w:tc>
        <w:tc>
          <w:tcPr>
            <w:tcW w:w="2388" w:type="dxa"/>
          </w:tcPr>
          <w:p w14:paraId="7EE89E6B" w14:textId="08D48067" w:rsidR="009A3608" w:rsidRDefault="009A3608" w:rsidP="009A3608">
            <w:pPr>
              <w:spacing w:after="0"/>
            </w:pPr>
            <w:r w:rsidRPr="00BF077D">
              <w:t>£0</w:t>
            </w:r>
          </w:p>
        </w:tc>
      </w:tr>
      <w:tr w:rsidR="009A3608" w14:paraId="7A56D48C" w14:textId="77777777" w:rsidTr="00337D29">
        <w:trPr>
          <w:trHeight w:val="349"/>
        </w:trPr>
        <w:tc>
          <w:tcPr>
            <w:tcW w:w="8207" w:type="dxa"/>
          </w:tcPr>
          <w:p w14:paraId="04565F05" w14:textId="5B4EA5BD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 xml:space="preserve">Post Looked After </w:t>
            </w:r>
          </w:p>
        </w:tc>
        <w:tc>
          <w:tcPr>
            <w:tcW w:w="2388" w:type="dxa"/>
          </w:tcPr>
          <w:p w14:paraId="0087F1E0" w14:textId="733937F2" w:rsidR="009A3608" w:rsidRDefault="009A3608" w:rsidP="009A3608">
            <w:pPr>
              <w:spacing w:after="0"/>
            </w:pPr>
            <w:r w:rsidRPr="00BF077D">
              <w:t xml:space="preserve">5 in total </w:t>
            </w:r>
          </w:p>
        </w:tc>
      </w:tr>
      <w:tr w:rsidR="009A3608" w14:paraId="3006DF4C" w14:textId="77777777" w:rsidTr="00337D29">
        <w:trPr>
          <w:trHeight w:val="349"/>
        </w:trPr>
        <w:tc>
          <w:tcPr>
            <w:tcW w:w="8207" w:type="dxa"/>
          </w:tcPr>
          <w:p w14:paraId="5EF55C6F" w14:textId="0A0C39DB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 xml:space="preserve">Recovery Premium </w:t>
            </w:r>
          </w:p>
        </w:tc>
        <w:tc>
          <w:tcPr>
            <w:tcW w:w="2388" w:type="dxa"/>
          </w:tcPr>
          <w:p w14:paraId="05E7FDF9" w14:textId="121446A0" w:rsidR="009A3608" w:rsidRDefault="009A3608" w:rsidP="009A3608">
            <w:pPr>
              <w:spacing w:after="0"/>
            </w:pPr>
            <w:r w:rsidRPr="00BF077D">
              <w:t>£5112</w:t>
            </w:r>
          </w:p>
        </w:tc>
      </w:tr>
      <w:tr w:rsidR="009A3608" w14:paraId="2A83414C" w14:textId="77777777" w:rsidTr="00337D29">
        <w:trPr>
          <w:trHeight w:val="349"/>
        </w:trPr>
        <w:tc>
          <w:tcPr>
            <w:tcW w:w="8207" w:type="dxa"/>
          </w:tcPr>
          <w:p w14:paraId="54268F5D" w14:textId="2EE62737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>School Led Tutoring</w:t>
            </w:r>
          </w:p>
        </w:tc>
        <w:tc>
          <w:tcPr>
            <w:tcW w:w="2388" w:type="dxa"/>
          </w:tcPr>
          <w:p w14:paraId="6656C9A9" w14:textId="4E7B4092" w:rsidR="009A3608" w:rsidRDefault="009A3608" w:rsidP="009A3608">
            <w:pPr>
              <w:spacing w:after="0"/>
            </w:pPr>
            <w:r w:rsidRPr="00BF077D">
              <w:t>£3046</w:t>
            </w:r>
          </w:p>
        </w:tc>
      </w:tr>
      <w:tr w:rsidR="009A3608" w14:paraId="4AC80EBF" w14:textId="77777777" w:rsidTr="00337D29">
        <w:trPr>
          <w:trHeight w:val="349"/>
        </w:trPr>
        <w:tc>
          <w:tcPr>
            <w:tcW w:w="8207" w:type="dxa"/>
          </w:tcPr>
          <w:p w14:paraId="785B0F86" w14:textId="696907D7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>Total budget for this academic year</w:t>
            </w:r>
          </w:p>
        </w:tc>
        <w:tc>
          <w:tcPr>
            <w:tcW w:w="2388" w:type="dxa"/>
          </w:tcPr>
          <w:p w14:paraId="586F8ED9" w14:textId="7D5EA509" w:rsidR="009A3608" w:rsidRDefault="009A3608" w:rsidP="009A3608">
            <w:pPr>
              <w:spacing w:after="0"/>
            </w:pPr>
            <w:r w:rsidRPr="00BF077D">
              <w:t>£83,328</w:t>
            </w:r>
          </w:p>
        </w:tc>
      </w:tr>
      <w:tr w:rsidR="009A3608" w:rsidRPr="008B2ECE" w14:paraId="1665C38D" w14:textId="77777777" w:rsidTr="00337D29">
        <w:trPr>
          <w:trHeight w:val="349"/>
        </w:trPr>
        <w:tc>
          <w:tcPr>
            <w:tcW w:w="8207" w:type="dxa"/>
          </w:tcPr>
          <w:p w14:paraId="272B127C" w14:textId="32EE339F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>Publish Date</w:t>
            </w:r>
          </w:p>
        </w:tc>
        <w:tc>
          <w:tcPr>
            <w:tcW w:w="2388" w:type="dxa"/>
          </w:tcPr>
          <w:p w14:paraId="3A70D9F1" w14:textId="773F1D38" w:rsidR="009A3608" w:rsidRPr="008B2ECE" w:rsidRDefault="009A3608" w:rsidP="009A3608">
            <w:pPr>
              <w:spacing w:after="0"/>
              <w:rPr>
                <w:b/>
              </w:rPr>
            </w:pPr>
            <w:r w:rsidRPr="00BF077D">
              <w:t>September 2023</w:t>
            </w:r>
          </w:p>
        </w:tc>
      </w:tr>
      <w:tr w:rsidR="009A3608" w:rsidRPr="008B2ECE" w14:paraId="425C0571" w14:textId="77777777" w:rsidTr="00337D29">
        <w:trPr>
          <w:trHeight w:val="349"/>
        </w:trPr>
        <w:tc>
          <w:tcPr>
            <w:tcW w:w="8207" w:type="dxa"/>
          </w:tcPr>
          <w:p w14:paraId="38BC6999" w14:textId="4B50F1F7" w:rsidR="009A3608" w:rsidRPr="0075462C" w:rsidRDefault="009A3608" w:rsidP="009A3608">
            <w:pPr>
              <w:spacing w:after="0" w:line="240" w:lineRule="auto"/>
              <w:rPr>
                <w:b/>
                <w:bCs/>
              </w:rPr>
            </w:pPr>
            <w:r w:rsidRPr="00BF077D">
              <w:t>Review Dates</w:t>
            </w:r>
          </w:p>
        </w:tc>
        <w:tc>
          <w:tcPr>
            <w:tcW w:w="2388" w:type="dxa"/>
          </w:tcPr>
          <w:p w14:paraId="2F2BE77A" w14:textId="7B5F7E0C" w:rsidR="009A3608" w:rsidRPr="008B2ECE" w:rsidRDefault="009A3608" w:rsidP="009A3608">
            <w:pPr>
              <w:spacing w:after="0"/>
              <w:rPr>
                <w:b/>
              </w:rPr>
            </w:pPr>
            <w:r w:rsidRPr="00BF077D">
              <w:t>Jan 24 / April 24</w:t>
            </w:r>
          </w:p>
        </w:tc>
      </w:tr>
    </w:tbl>
    <w:p w14:paraId="1672919D" w14:textId="77777777" w:rsidR="00254B5D" w:rsidRDefault="00254B5D" w:rsidP="0075462C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10631" w:type="dxa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5387"/>
      </w:tblGrid>
      <w:tr w:rsidR="0075462C" w14:paraId="3B373D21" w14:textId="77777777" w:rsidTr="007270CA">
        <w:tc>
          <w:tcPr>
            <w:tcW w:w="10631" w:type="dxa"/>
            <w:gridSpan w:val="3"/>
            <w:shd w:val="clear" w:color="auto" w:fill="FF0000"/>
          </w:tcPr>
          <w:p w14:paraId="29479BF8" w14:textId="3C3509B5" w:rsidR="0075462C" w:rsidRPr="00CA2569" w:rsidRDefault="005C20CF" w:rsidP="00FF7238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Quality of Teaching Support for the Academic Year 2023 - 24</w:t>
            </w:r>
          </w:p>
        </w:tc>
      </w:tr>
      <w:tr w:rsidR="00254B5D" w14:paraId="064A6744" w14:textId="77777777" w:rsidTr="007270CA">
        <w:tc>
          <w:tcPr>
            <w:tcW w:w="2551" w:type="dxa"/>
            <w:shd w:val="clear" w:color="auto" w:fill="F7CAAC" w:themeFill="accent2" w:themeFillTint="66"/>
          </w:tcPr>
          <w:p w14:paraId="5130F221" w14:textId="77777777" w:rsidR="00254B5D" w:rsidRPr="00CA2569" w:rsidRDefault="00254B5D" w:rsidP="00FF7238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Measure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67EC30A" w14:textId="72AF0C5E" w:rsidR="00254B5D" w:rsidRPr="00CA2569" w:rsidRDefault="00254B5D" w:rsidP="00254B5D">
            <w:pPr>
              <w:spacing w:after="0" w:line="240" w:lineRule="auto"/>
              <w:ind w:hanging="1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</w:t>
            </w:r>
          </w:p>
        </w:tc>
        <w:tc>
          <w:tcPr>
            <w:tcW w:w="5387" w:type="dxa"/>
            <w:shd w:val="clear" w:color="auto" w:fill="F7CAAC" w:themeFill="accent2" w:themeFillTint="66"/>
          </w:tcPr>
          <w:p w14:paraId="5DC5BF57" w14:textId="601AA9E4" w:rsidR="00254B5D" w:rsidRPr="00CA2569" w:rsidRDefault="00254B5D" w:rsidP="00254B5D">
            <w:pPr>
              <w:spacing w:after="0" w:line="240" w:lineRule="auto"/>
              <w:ind w:hanging="11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Evaluation and Impact</w:t>
            </w:r>
          </w:p>
        </w:tc>
      </w:tr>
      <w:tr w:rsidR="00254B5D" w14:paraId="53097E6E" w14:textId="77777777" w:rsidTr="007270CA">
        <w:tc>
          <w:tcPr>
            <w:tcW w:w="2551" w:type="dxa"/>
          </w:tcPr>
          <w:p w14:paraId="6F685C70" w14:textId="77777777" w:rsidR="00254B5D" w:rsidRDefault="00254B5D" w:rsidP="00FF7238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 w:rsidRPr="00CA2569">
              <w:rPr>
                <w:b/>
                <w:sz w:val="26"/>
                <w:szCs w:val="26"/>
              </w:rPr>
              <w:t>Priority 1</w:t>
            </w:r>
            <w:r>
              <w:rPr>
                <w:b/>
                <w:sz w:val="26"/>
                <w:szCs w:val="26"/>
              </w:rPr>
              <w:t>:</w:t>
            </w:r>
          </w:p>
          <w:p w14:paraId="11AF327F" w14:textId="1D995024" w:rsidR="00254B5D" w:rsidRPr="00B940A3" w:rsidRDefault="005C20CF" w:rsidP="005C20CF">
            <w:pPr>
              <w:spacing w:after="0" w:line="240" w:lineRule="auto"/>
            </w:pPr>
            <w:r w:rsidRPr="005C20CF">
              <w:t>To continue to deliver a</w:t>
            </w:r>
            <w:r>
              <w:t xml:space="preserve"> </w:t>
            </w:r>
            <w:r w:rsidRPr="005C20CF">
              <w:t xml:space="preserve">mastery curriculum for the teaching of mathematics and English through excellent formative assessment procedures, meta-cognition opportunities and the </w:t>
            </w:r>
            <w:proofErr w:type="spellStart"/>
            <w:r w:rsidRPr="005C20CF">
              <w:t>Rosenshine</w:t>
            </w:r>
            <w:proofErr w:type="spellEnd"/>
            <w:r w:rsidRPr="005C20CF">
              <w:t xml:space="preserve"> Principles</w:t>
            </w:r>
          </w:p>
          <w:p w14:paraId="483E3F2B" w14:textId="77777777" w:rsidR="00254B5D" w:rsidRDefault="00254B5D" w:rsidP="00FF7238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</w:p>
          <w:p w14:paraId="6353008D" w14:textId="4B172550" w:rsidR="00254B5D" w:rsidRDefault="00254B5D" w:rsidP="00FF7238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£</w:t>
            </w:r>
            <w:r w:rsidR="005C20CF">
              <w:rPr>
                <w:color w:val="FF0000"/>
                <w:sz w:val="24"/>
                <w:szCs w:val="24"/>
              </w:rPr>
              <w:t>44</w:t>
            </w:r>
            <w:r>
              <w:rPr>
                <w:color w:val="FF0000"/>
                <w:sz w:val="24"/>
                <w:szCs w:val="24"/>
              </w:rPr>
              <w:t>,000</w:t>
            </w:r>
          </w:p>
          <w:p w14:paraId="0930E4B8" w14:textId="7D2DDBB7" w:rsidR="00254B5D" w:rsidRPr="00254B5D" w:rsidRDefault="00254B5D" w:rsidP="00FF7238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C596E6" w14:textId="0542E6D4" w:rsidR="00254B5D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SLT had </w:t>
            </w:r>
            <w:proofErr w:type="gramStart"/>
            <w:r>
              <w:t>5 day</w:t>
            </w:r>
            <w:proofErr w:type="gramEnd"/>
            <w:r>
              <w:t xml:space="preserve"> training</w:t>
            </w:r>
          </w:p>
          <w:p w14:paraId="729E01EB" w14:textId="321EEA55" w:rsidR="005C20CF" w:rsidRDefault="005C20CF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Training in what quality modelling looks like. </w:t>
            </w:r>
          </w:p>
          <w:p w14:paraId="528BEE65" w14:textId="77777777" w:rsidR="007270CA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Whole school INSET</w:t>
            </w:r>
          </w:p>
          <w:p w14:paraId="452584D9" w14:textId="5AB892EA" w:rsidR="007270CA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Training in use of Thinking Frames</w:t>
            </w:r>
            <w:r w:rsidR="005C20CF">
              <w:t xml:space="preserve"> for Science, History and Geography. </w:t>
            </w:r>
          </w:p>
          <w:p w14:paraId="4B408985" w14:textId="77777777" w:rsidR="005C20CF" w:rsidRDefault="005C20CF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Established pedagogical approach – 4 cornerstones in learning. </w:t>
            </w:r>
          </w:p>
          <w:p w14:paraId="47D7D793" w14:textId="045EF336" w:rsidR="007270CA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Focus on reviewing prior learning</w:t>
            </w:r>
            <w:r w:rsidR="005C20CF">
              <w:t xml:space="preserve"> at the start of each unit / theme through “quick quizzes”. </w:t>
            </w:r>
          </w:p>
          <w:p w14:paraId="62327095" w14:textId="77777777" w:rsidR="007270CA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Looked at what quality questioning looks like</w:t>
            </w:r>
          </w:p>
          <w:p w14:paraId="4AA12D24" w14:textId="77777777" w:rsidR="007270CA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TAs full time in majority of classes</w:t>
            </w:r>
          </w:p>
          <w:p w14:paraId="01B14E84" w14:textId="71962E85" w:rsidR="005C20CF" w:rsidRDefault="005C20CF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Morning release for PP lead to monitor standards and attendance. </w:t>
            </w:r>
          </w:p>
        </w:tc>
        <w:tc>
          <w:tcPr>
            <w:tcW w:w="5387" w:type="dxa"/>
          </w:tcPr>
          <w:p w14:paraId="427CA18F" w14:textId="77777777" w:rsidR="00254B5D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All teaching judged at least good for Reading, Writing and Maths. </w:t>
            </w:r>
          </w:p>
          <w:p w14:paraId="7CB66B4D" w14:textId="77777777" w:rsidR="00132535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Deep dives in wider curriculum subjects showing all subject at least good. </w:t>
            </w:r>
          </w:p>
          <w:p w14:paraId="19C34F54" w14:textId="77777777" w:rsidR="00132535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Clear pedagogical approach beginning to embed for each subject in all classes. </w:t>
            </w:r>
          </w:p>
          <w:p w14:paraId="50A22977" w14:textId="77777777" w:rsidR="00132535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97% of pupils asked said they learned a lot in lessons with 67% strongly agreeing. </w:t>
            </w:r>
          </w:p>
          <w:p w14:paraId="4BEBCD05" w14:textId="77777777" w:rsidR="00132535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98% of children said that teaching is good in the school with 73% strongly agreeing. </w:t>
            </w:r>
          </w:p>
          <w:p w14:paraId="0960F3F2" w14:textId="636CC368" w:rsidR="00132535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91% of pupils said that got effective feedback on how to improve and 57% strongly agreed. </w:t>
            </w:r>
          </w:p>
          <w:p w14:paraId="5E915B13" w14:textId="6DD5C375" w:rsidR="00132535" w:rsidRDefault="00132535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t xml:space="preserve">94.9% of parents agreed that their child was taught well and 62.7% strongly agreed. </w:t>
            </w:r>
          </w:p>
          <w:p w14:paraId="41040A3C" w14:textId="01969864" w:rsidR="00132535" w:rsidRDefault="00132535" w:rsidP="00132535">
            <w:pPr>
              <w:spacing w:after="0" w:line="240" w:lineRule="auto"/>
            </w:pPr>
          </w:p>
        </w:tc>
      </w:tr>
      <w:tr w:rsidR="00254B5D" w14:paraId="08CF04ED" w14:textId="77777777" w:rsidTr="007270CA">
        <w:tc>
          <w:tcPr>
            <w:tcW w:w="2551" w:type="dxa"/>
          </w:tcPr>
          <w:p w14:paraId="7B22718E" w14:textId="5F8DA5BB" w:rsidR="005C20CF" w:rsidRDefault="005C20CF" w:rsidP="005C20CF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Priority 2:</w:t>
            </w:r>
          </w:p>
          <w:p w14:paraId="7530D744" w14:textId="58AC1D02" w:rsidR="005C20CF" w:rsidRDefault="005C20CF" w:rsidP="005C20CF">
            <w:r>
              <w:t>To implement a curriculum for children who are SEND that supports and evidences their progress at their cognitive level.</w:t>
            </w:r>
          </w:p>
          <w:p w14:paraId="14D100C4" w14:textId="6B7DEAF8" w:rsidR="00254B5D" w:rsidRPr="007E462B" w:rsidRDefault="005C20CF" w:rsidP="005C20CF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£8000</w:t>
            </w:r>
          </w:p>
        </w:tc>
        <w:tc>
          <w:tcPr>
            <w:tcW w:w="2693" w:type="dxa"/>
          </w:tcPr>
          <w:p w14:paraId="45F9EA78" w14:textId="77777777" w:rsidR="007270CA" w:rsidRDefault="003F5557" w:rsidP="007E46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 w:rsidRPr="00F34372">
              <w:t>Assessments against new PIVATs matched to new curriculum will determine personalised next steps</w:t>
            </w:r>
            <w:r>
              <w:t>.</w:t>
            </w:r>
          </w:p>
          <w:p w14:paraId="1BDE6F80" w14:textId="77777777" w:rsidR="003F5557" w:rsidRDefault="003F5557" w:rsidP="007E46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Implemented Zones of Regulation</w:t>
            </w:r>
          </w:p>
          <w:p w14:paraId="1180AD9F" w14:textId="77777777" w:rsidR="003F5557" w:rsidRDefault="003F5557" w:rsidP="007E46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Diagnostic assessments for reading introduced. </w:t>
            </w:r>
          </w:p>
          <w:p w14:paraId="03DD795C" w14:textId="77777777" w:rsidR="003F5557" w:rsidRDefault="003F5557" w:rsidP="007E46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Launched High Quality Teaching evidence base for each class to focus on reasonable adjustments. </w:t>
            </w:r>
          </w:p>
          <w:p w14:paraId="27E6647F" w14:textId="636CD812" w:rsidR="00441C41" w:rsidRDefault="00441C41" w:rsidP="007E462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Signed into PINS project to support pupils who are typically neurodiverse. </w:t>
            </w:r>
          </w:p>
        </w:tc>
        <w:tc>
          <w:tcPr>
            <w:tcW w:w="5387" w:type="dxa"/>
          </w:tcPr>
          <w:p w14:paraId="5002F84E" w14:textId="68187952" w:rsidR="003F5557" w:rsidRDefault="003F5557" w:rsidP="003F5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218"/>
            </w:pPr>
            <w:r>
              <w:t xml:space="preserve">All classes have Zones of Regulation displays in classrooms and have had training. </w:t>
            </w:r>
          </w:p>
          <w:p w14:paraId="0C9187D2" w14:textId="77777777" w:rsidR="005F43B3" w:rsidRDefault="003F5557" w:rsidP="005F43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218"/>
            </w:pPr>
            <w:r>
              <w:t xml:space="preserve">All pupils working well below the age-related curriculum are assessed against PIVATs and with personal targets. </w:t>
            </w:r>
          </w:p>
          <w:p w14:paraId="156EEE86" w14:textId="77777777" w:rsidR="00F931F7" w:rsidRDefault="00F931F7" w:rsidP="00F931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218"/>
            </w:pPr>
            <w:r>
              <w:t xml:space="preserve">High Quality and Adaptive teaching sheets completed by each class. </w:t>
            </w:r>
          </w:p>
          <w:p w14:paraId="4528F508" w14:textId="77777777" w:rsidR="00F931F7" w:rsidRDefault="00F931F7" w:rsidP="00F931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218"/>
            </w:pPr>
            <w:r>
              <w:t>Each class needs are identified by SLT and SEN lead and provision mapped termly.</w:t>
            </w:r>
          </w:p>
          <w:p w14:paraId="5900A537" w14:textId="762CCFAC" w:rsidR="00F931F7" w:rsidRPr="003F5557" w:rsidRDefault="00F931F7" w:rsidP="00F931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218"/>
            </w:pPr>
            <w:r>
              <w:t xml:space="preserve">Support groups and interventions are evaluated by TAs via the Pupil Passports. </w:t>
            </w:r>
          </w:p>
        </w:tc>
      </w:tr>
      <w:tr w:rsidR="005C20CF" w14:paraId="187E5B95" w14:textId="77777777" w:rsidTr="007270CA">
        <w:tc>
          <w:tcPr>
            <w:tcW w:w="2551" w:type="dxa"/>
          </w:tcPr>
          <w:p w14:paraId="03743FA5" w14:textId="45D9C8FB" w:rsidR="005C20CF" w:rsidRDefault="005C20CF" w:rsidP="005C20CF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Priority 3:</w:t>
            </w:r>
          </w:p>
          <w:p w14:paraId="1DBA3D03" w14:textId="77777777" w:rsidR="005C20CF" w:rsidRDefault="005C20CF" w:rsidP="005C20CF">
            <w:pPr>
              <w:spacing w:after="0" w:line="240" w:lineRule="auto"/>
            </w:pPr>
            <w:r w:rsidRPr="00B940A3">
              <w:t xml:space="preserve">To improve the quality of teaching </w:t>
            </w:r>
            <w:proofErr w:type="gramStart"/>
            <w:r w:rsidRPr="00B940A3">
              <w:t>in order to</w:t>
            </w:r>
            <w:proofErr w:type="gramEnd"/>
            <w:r w:rsidRPr="00B940A3">
              <w:t xml:space="preserve"> close the gap in attainment for Reading and Phonics for all pupils and progress in Reading in line with other pupils nationally </w:t>
            </w:r>
          </w:p>
          <w:p w14:paraId="0CC36C0B" w14:textId="77777777" w:rsidR="005C20CF" w:rsidRDefault="005C20CF" w:rsidP="005C20CF">
            <w:pPr>
              <w:spacing w:after="0" w:line="240" w:lineRule="auto"/>
            </w:pPr>
          </w:p>
          <w:p w14:paraId="015E3C68" w14:textId="10D70877" w:rsidR="005C20CF" w:rsidRDefault="005C20CF" w:rsidP="005C20CF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>
              <w:rPr>
                <w:color w:val="FF0000"/>
                <w:sz w:val="24"/>
                <w:szCs w:val="24"/>
              </w:rPr>
              <w:t xml:space="preserve">  £</w:t>
            </w:r>
            <w:r w:rsidR="003F5557">
              <w:rPr>
                <w:color w:val="FF0000"/>
                <w:sz w:val="24"/>
                <w:szCs w:val="24"/>
              </w:rPr>
              <w:t>4000</w:t>
            </w:r>
          </w:p>
        </w:tc>
        <w:tc>
          <w:tcPr>
            <w:tcW w:w="2693" w:type="dxa"/>
          </w:tcPr>
          <w:p w14:paraId="6FA0412C" w14:textId="2D957845" w:rsidR="005C20CF" w:rsidRDefault="005C20CF" w:rsidP="005C20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RWI mentoring and CPD support</w:t>
            </w:r>
            <w:r w:rsidR="003F5557">
              <w:t xml:space="preserve">. </w:t>
            </w:r>
          </w:p>
          <w:p w14:paraId="71F11E7B" w14:textId="77777777" w:rsidR="005C20CF" w:rsidRDefault="005C20CF" w:rsidP="005C20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Embedded RWI in Year 1 and EYFS. </w:t>
            </w:r>
          </w:p>
          <w:p w14:paraId="4A2B4B4B" w14:textId="77777777" w:rsidR="005C20CF" w:rsidRDefault="005C20CF" w:rsidP="005C20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Implemented RWI intervention in KS2. </w:t>
            </w:r>
          </w:p>
          <w:p w14:paraId="1FE6F027" w14:textId="77777777" w:rsidR="005C20CF" w:rsidRDefault="005C20CF" w:rsidP="005C20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Implemented STAR approach to develop vocab in EYFS</w:t>
            </w:r>
            <w:r w:rsidR="003F5557">
              <w:t>.</w:t>
            </w:r>
          </w:p>
          <w:p w14:paraId="0EF434F9" w14:textId="77777777" w:rsidR="003F5557" w:rsidRDefault="003F5557" w:rsidP="005C20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Bought Books for bags for EYFS and Year 1 to closely match their phonics. </w:t>
            </w:r>
          </w:p>
          <w:p w14:paraId="17402572" w14:textId="0EC28BA7" w:rsidR="003F5557" w:rsidRDefault="003F5557" w:rsidP="005C20C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Implemented transitional RWI booklets in Year 2 for comprehension, </w:t>
            </w:r>
            <w:proofErr w:type="gramStart"/>
            <w:r>
              <w:t>grammar</w:t>
            </w:r>
            <w:proofErr w:type="gramEnd"/>
            <w:r>
              <w:t xml:space="preserve"> and spelling. </w:t>
            </w:r>
          </w:p>
        </w:tc>
        <w:tc>
          <w:tcPr>
            <w:tcW w:w="5387" w:type="dxa"/>
          </w:tcPr>
          <w:p w14:paraId="6F41ECE0" w14:textId="4BD2DD5A" w:rsidR="00252FAC" w:rsidRDefault="00252FAC" w:rsidP="005C20CF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Phonics:</w:t>
            </w:r>
          </w:p>
          <w:p w14:paraId="7382AD51" w14:textId="505D81B0" w:rsidR="00252FAC" w:rsidRDefault="00252FAC" w:rsidP="00252F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2" w:hanging="212"/>
            </w:pPr>
            <w:r>
              <w:t xml:space="preserve">97% of pupils achieved the pass mark. </w:t>
            </w:r>
          </w:p>
          <w:p w14:paraId="2E4529CF" w14:textId="20CB209D" w:rsidR="00252FAC" w:rsidRPr="00252FAC" w:rsidRDefault="00252FAC" w:rsidP="00252F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2" w:hanging="212"/>
            </w:pPr>
            <w:r>
              <w:t xml:space="preserve">Average mark well above national at 36.1. Girls were 100% and boys well above national at 94%. </w:t>
            </w:r>
          </w:p>
          <w:p w14:paraId="7ADA833E" w14:textId="77777777" w:rsidR="00252FAC" w:rsidRDefault="00252FAC" w:rsidP="005C20CF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  <w:p w14:paraId="30B0B7F9" w14:textId="4F2934C7" w:rsidR="005C20CF" w:rsidRDefault="005C20CF" w:rsidP="005C20CF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Reading Analysis:</w:t>
            </w:r>
          </w:p>
          <w:p w14:paraId="25A251BD" w14:textId="2608EF77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 w:rsidRPr="00E37DB2">
              <w:rPr>
                <w:b/>
                <w:bCs/>
              </w:rPr>
              <w:t>EYFS</w:t>
            </w:r>
            <w:r>
              <w:rPr>
                <w:b/>
                <w:bCs/>
              </w:rPr>
              <w:t xml:space="preserve">: </w:t>
            </w:r>
            <w:r>
              <w:t>Comprehension well above national at 9</w:t>
            </w:r>
            <w:r w:rsidR="00252FAC">
              <w:t>2</w:t>
            </w:r>
            <w:r>
              <w:t>% and word reading 7</w:t>
            </w:r>
            <w:r w:rsidR="00252FAC">
              <w:t>9</w:t>
            </w:r>
            <w:r>
              <w:t xml:space="preserve">%. </w:t>
            </w:r>
            <w:r w:rsidRPr="00502545">
              <w:t>FSM pupils (</w:t>
            </w:r>
            <w:r w:rsidR="00252FAC" w:rsidRPr="00502545">
              <w:t>4</w:t>
            </w:r>
            <w:r w:rsidRPr="00502545">
              <w:t xml:space="preserve">) and </w:t>
            </w:r>
            <w:r w:rsidR="00502545">
              <w:t>75</w:t>
            </w:r>
            <w:r w:rsidRPr="00502545">
              <w:t>% achieved bot</w:t>
            </w:r>
            <w:r w:rsidR="00502545">
              <w:t xml:space="preserve">h and 100% comprehension. </w:t>
            </w:r>
          </w:p>
          <w:p w14:paraId="5F267648" w14:textId="74BAC877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rPr>
                <w:b/>
                <w:bCs/>
              </w:rPr>
              <w:t>Yr1:</w:t>
            </w:r>
            <w:r>
              <w:t xml:space="preserve"> All pupils 70% expected and 1</w:t>
            </w:r>
            <w:r w:rsidR="008855AE">
              <w:t>3</w:t>
            </w:r>
            <w:r>
              <w:t>% depth. FSM pupils (</w:t>
            </w:r>
            <w:r w:rsidR="008855AE">
              <w:t>3</w:t>
            </w:r>
            <w:r>
              <w:t xml:space="preserve">) and </w:t>
            </w:r>
            <w:r w:rsidR="008855AE">
              <w:t>66</w:t>
            </w:r>
            <w:r>
              <w:t>% achieved expected</w:t>
            </w:r>
            <w:r w:rsidR="008855AE">
              <w:t xml:space="preserve"> </w:t>
            </w:r>
            <w:proofErr w:type="gramStart"/>
            <w:r w:rsidR="008855AE">
              <w:t>( 1</w:t>
            </w:r>
            <w:proofErr w:type="gramEnd"/>
            <w:r w:rsidR="008855AE">
              <w:t xml:space="preserve"> SEND)</w:t>
            </w:r>
            <w:r>
              <w:t xml:space="preserve">. </w:t>
            </w:r>
          </w:p>
          <w:p w14:paraId="619491F4" w14:textId="599C8BBD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 w:rsidRPr="00E37DB2">
              <w:rPr>
                <w:b/>
                <w:bCs/>
              </w:rPr>
              <w:t>Yr2</w:t>
            </w:r>
            <w:r>
              <w:t xml:space="preserve">: slight dip on last year with </w:t>
            </w:r>
            <w:r w:rsidR="008855AE">
              <w:t>73</w:t>
            </w:r>
            <w:r>
              <w:t xml:space="preserve">% expected and </w:t>
            </w:r>
            <w:r w:rsidR="008855AE">
              <w:t>17</w:t>
            </w:r>
            <w:r>
              <w:t>% depth</w:t>
            </w:r>
            <w:r w:rsidR="008855AE">
              <w:t>.</w:t>
            </w:r>
            <w:r>
              <w:t xml:space="preserve"> FSM pupils (</w:t>
            </w:r>
            <w:r w:rsidR="008855AE">
              <w:t>5</w:t>
            </w:r>
            <w:r>
              <w:t xml:space="preserve">), </w:t>
            </w:r>
            <w:r w:rsidR="008855AE">
              <w:t>8</w:t>
            </w:r>
            <w:r>
              <w:t>0% expecte</w:t>
            </w:r>
            <w:r w:rsidR="008855AE">
              <w:t>d.</w:t>
            </w:r>
          </w:p>
          <w:p w14:paraId="1BB029C4" w14:textId="79995472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rPr>
                <w:b/>
                <w:bCs/>
              </w:rPr>
              <w:t>Yr3</w:t>
            </w:r>
            <w:r w:rsidRPr="00E37DB2">
              <w:t>:</w:t>
            </w:r>
            <w:r>
              <w:t xml:space="preserve"> All pupils 6</w:t>
            </w:r>
            <w:r w:rsidR="008855AE">
              <w:t>7</w:t>
            </w:r>
            <w:r>
              <w:t xml:space="preserve">% expected and </w:t>
            </w:r>
            <w:r w:rsidR="008855AE">
              <w:t>21</w:t>
            </w:r>
            <w:r>
              <w:t>% depth. FSM pupils (</w:t>
            </w:r>
            <w:r w:rsidR="008855AE">
              <w:t>2</w:t>
            </w:r>
            <w:r>
              <w:t>)</w:t>
            </w:r>
            <w:r w:rsidR="008855AE">
              <w:t xml:space="preserve"> both working towards. </w:t>
            </w:r>
          </w:p>
          <w:p w14:paraId="503EFBCD" w14:textId="47E2027A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proofErr w:type="spellStart"/>
            <w:r w:rsidRPr="005F43B3">
              <w:rPr>
                <w:b/>
                <w:bCs/>
              </w:rPr>
              <w:t>Yr</w:t>
            </w:r>
            <w:proofErr w:type="spellEnd"/>
            <w:r w:rsidRPr="005F43B3">
              <w:rPr>
                <w:b/>
                <w:bCs/>
              </w:rPr>
              <w:t xml:space="preserve"> 4</w:t>
            </w:r>
            <w:r>
              <w:t>: 7</w:t>
            </w:r>
            <w:r w:rsidR="008855AE">
              <w:t>4</w:t>
            </w:r>
            <w:r>
              <w:t xml:space="preserve">% expected and </w:t>
            </w:r>
            <w:r w:rsidR="008855AE">
              <w:t>43</w:t>
            </w:r>
            <w:r>
              <w:t>% depth. FSM pupils (</w:t>
            </w:r>
            <w:r w:rsidR="008855AE">
              <w:t>10</w:t>
            </w:r>
            <w:r>
              <w:t>) 4</w:t>
            </w:r>
            <w:r w:rsidR="008855AE">
              <w:t>0</w:t>
            </w:r>
            <w:r>
              <w:t>% expected</w:t>
            </w:r>
            <w:r w:rsidR="008855AE">
              <w:t xml:space="preserve">. </w:t>
            </w:r>
          </w:p>
          <w:p w14:paraId="1B4EB8C6" w14:textId="52401024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proofErr w:type="spellStart"/>
            <w:r w:rsidRPr="005F43B3">
              <w:rPr>
                <w:b/>
                <w:bCs/>
              </w:rPr>
              <w:t>Yr</w:t>
            </w:r>
            <w:proofErr w:type="spellEnd"/>
            <w:r w:rsidRPr="005F43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t xml:space="preserve">: </w:t>
            </w:r>
            <w:r w:rsidR="008855AE">
              <w:t>85</w:t>
            </w:r>
            <w:r>
              <w:t xml:space="preserve">% expected and </w:t>
            </w:r>
            <w:r w:rsidR="008855AE">
              <w:t>46</w:t>
            </w:r>
            <w:r>
              <w:t>% depth. FSM pupils (</w:t>
            </w:r>
            <w:r w:rsidR="008855AE">
              <w:t>6</w:t>
            </w:r>
            <w:r>
              <w:t xml:space="preserve">) </w:t>
            </w:r>
            <w:r w:rsidR="008855AE">
              <w:t>66</w:t>
            </w:r>
            <w:r>
              <w:t>% expected and 1</w:t>
            </w:r>
            <w:r w:rsidR="008855AE">
              <w:t>7</w:t>
            </w:r>
            <w:r>
              <w:t>% depth.</w:t>
            </w:r>
          </w:p>
          <w:p w14:paraId="36133A7A" w14:textId="379E4944" w:rsidR="005C20CF" w:rsidRDefault="005C20CF" w:rsidP="005C20C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6</w:t>
            </w:r>
            <w:r w:rsidRPr="005F43B3">
              <w:t>:</w:t>
            </w:r>
            <w:r>
              <w:t xml:space="preserve"> </w:t>
            </w:r>
            <w:r w:rsidR="008855AE">
              <w:t xml:space="preserve">Slightly below national at 65% expected and 18% depth. However, LA prior (15) 46% achieved expected. </w:t>
            </w:r>
          </w:p>
          <w:p w14:paraId="12E93AB8" w14:textId="1BDC0B30" w:rsidR="005C20CF" w:rsidRDefault="005C20CF" w:rsidP="005C20CF">
            <w:pPr>
              <w:pStyle w:val="ListParagraph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3F5557" w14:paraId="5B9C96DD" w14:textId="77777777" w:rsidTr="007270CA">
        <w:tc>
          <w:tcPr>
            <w:tcW w:w="2551" w:type="dxa"/>
          </w:tcPr>
          <w:p w14:paraId="7F4CF1BA" w14:textId="06150722" w:rsidR="008910AE" w:rsidRPr="008910AE" w:rsidRDefault="008910AE" w:rsidP="008910AE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Priority 4:</w:t>
            </w:r>
          </w:p>
          <w:p w14:paraId="2301F90D" w14:textId="58DBB21D" w:rsidR="008910AE" w:rsidRDefault="008910AE" w:rsidP="008910AE">
            <w:r>
              <w:t xml:space="preserve">To implement and deliver a maths scheme that is aligned to the White Rose medium term planning and has a whole class mastery approach that works for every child. </w:t>
            </w:r>
          </w:p>
          <w:p w14:paraId="7CF7D177" w14:textId="77777777" w:rsidR="003F5557" w:rsidRDefault="003F5557" w:rsidP="005C20CF">
            <w:pPr>
              <w:spacing w:after="0" w:line="240" w:lineRule="auto"/>
              <w:ind w:hanging="111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2D0AAFF6" w14:textId="07376074" w:rsidR="008910AE" w:rsidRDefault="008910AE" w:rsidP="008910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219"/>
            </w:pPr>
            <w:r>
              <w:t>Purchased new maths scheme in KS2 – Power Maths</w:t>
            </w:r>
          </w:p>
          <w:p w14:paraId="4131DAB4" w14:textId="46956A46" w:rsidR="008910AE" w:rsidRDefault="008910AE" w:rsidP="008910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219"/>
            </w:pPr>
            <w:r>
              <w:t xml:space="preserve">Staff training on new implementation of new scheme. </w:t>
            </w:r>
          </w:p>
          <w:p w14:paraId="6D1ACE07" w14:textId="63C6A08F" w:rsidR="008910AE" w:rsidRDefault="008910AE" w:rsidP="008910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219"/>
            </w:pPr>
            <w:r>
              <w:t xml:space="preserve">Staff trained in the new pedagogical approach. </w:t>
            </w:r>
          </w:p>
          <w:p w14:paraId="560A79C5" w14:textId="34EE9FFE" w:rsidR="008910AE" w:rsidRDefault="008910AE" w:rsidP="008910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219"/>
            </w:pPr>
            <w:r>
              <w:t xml:space="preserve">Enhanced learning walls related to the scheme. </w:t>
            </w:r>
          </w:p>
          <w:p w14:paraId="49245D89" w14:textId="77777777" w:rsidR="008910AE" w:rsidRDefault="008910AE" w:rsidP="008910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219"/>
            </w:pPr>
            <w:r>
              <w:t>Celebrated mistakes wall.</w:t>
            </w:r>
          </w:p>
          <w:p w14:paraId="417CB0DC" w14:textId="1E8A037B" w:rsidR="008910AE" w:rsidRDefault="008910AE" w:rsidP="008910A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4" w:hanging="219"/>
            </w:pPr>
            <w:r>
              <w:t xml:space="preserve">Begun to implement in KS1.  </w:t>
            </w:r>
          </w:p>
          <w:p w14:paraId="4A2BC115" w14:textId="77777777" w:rsidR="003F5557" w:rsidRDefault="003F5557" w:rsidP="008910AE">
            <w:pPr>
              <w:spacing w:after="0" w:line="240" w:lineRule="auto"/>
            </w:pPr>
          </w:p>
        </w:tc>
        <w:tc>
          <w:tcPr>
            <w:tcW w:w="5387" w:type="dxa"/>
          </w:tcPr>
          <w:p w14:paraId="6F3DFAEC" w14:textId="33EB1A4F" w:rsidR="008855AE" w:rsidRDefault="008855AE" w:rsidP="008855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 w:rsidRPr="00E37DB2">
              <w:rPr>
                <w:b/>
                <w:bCs/>
              </w:rPr>
              <w:t>EYFS</w:t>
            </w:r>
            <w:r>
              <w:rPr>
                <w:b/>
                <w:bCs/>
              </w:rPr>
              <w:t xml:space="preserve">: Number and Number patterns </w:t>
            </w:r>
            <w:r>
              <w:t xml:space="preserve">above national at 87% (2 years running). </w:t>
            </w:r>
            <w:r w:rsidR="00502545" w:rsidRPr="00502545">
              <w:t xml:space="preserve">FSM pupils (4) and </w:t>
            </w:r>
            <w:r w:rsidR="00502545">
              <w:t>75</w:t>
            </w:r>
            <w:r w:rsidR="00502545" w:rsidRPr="00502545">
              <w:t>% achieved bot</w:t>
            </w:r>
            <w:r w:rsidR="00502545">
              <w:t>h</w:t>
            </w:r>
            <w:r w:rsidR="00502545">
              <w:t xml:space="preserve">. </w:t>
            </w:r>
          </w:p>
          <w:p w14:paraId="37D01962" w14:textId="0CF8EB68" w:rsidR="008855AE" w:rsidRDefault="008855AE" w:rsidP="008855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rPr>
                <w:b/>
                <w:bCs/>
              </w:rPr>
              <w:t>Yr1:</w:t>
            </w:r>
            <w:r>
              <w:t xml:space="preserve"> All pupils 67% expected and 20% depth. FSM pupils (3) but 0% </w:t>
            </w:r>
            <w:proofErr w:type="gramStart"/>
            <w:r>
              <w:t>didn’t</w:t>
            </w:r>
            <w:proofErr w:type="gramEnd"/>
            <w:r>
              <w:t xml:space="preserve"> achieve expected. </w:t>
            </w:r>
          </w:p>
          <w:p w14:paraId="456AA2F0" w14:textId="5BF1B42D" w:rsidR="008855AE" w:rsidRDefault="008855AE" w:rsidP="008855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 w:rsidRPr="00E37DB2">
              <w:rPr>
                <w:b/>
                <w:bCs/>
              </w:rPr>
              <w:t>Yr2</w:t>
            </w:r>
            <w:r>
              <w:t xml:space="preserve">: 77% expected and 23% depth above national. FSM pupils (5), 80% expected; 20% depth. </w:t>
            </w:r>
          </w:p>
          <w:p w14:paraId="26F99EF7" w14:textId="465C22A7" w:rsidR="008855AE" w:rsidRDefault="008855AE" w:rsidP="008855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r>
              <w:rPr>
                <w:b/>
                <w:bCs/>
              </w:rPr>
              <w:t>Yr3</w:t>
            </w:r>
            <w:r w:rsidRPr="00E37DB2">
              <w:t>:</w:t>
            </w:r>
            <w:r>
              <w:t xml:space="preserve"> All pupils 78% expected and 42% depth. FSM pupils (</w:t>
            </w:r>
            <w:r w:rsidR="00132535">
              <w:t>2</w:t>
            </w:r>
            <w:r>
              <w:t>)</w:t>
            </w:r>
            <w:r w:rsidR="00132535">
              <w:t xml:space="preserve"> both low prior attainers and working towards. </w:t>
            </w:r>
          </w:p>
          <w:p w14:paraId="51543209" w14:textId="5D6E1E31" w:rsidR="008855AE" w:rsidRDefault="008855AE" w:rsidP="008855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proofErr w:type="spellStart"/>
            <w:r w:rsidRPr="005F43B3">
              <w:rPr>
                <w:b/>
                <w:bCs/>
              </w:rPr>
              <w:t>Yr</w:t>
            </w:r>
            <w:proofErr w:type="spellEnd"/>
            <w:r w:rsidRPr="005F43B3">
              <w:rPr>
                <w:b/>
                <w:bCs/>
              </w:rPr>
              <w:t xml:space="preserve"> 4</w:t>
            </w:r>
            <w:r>
              <w:t xml:space="preserve">: </w:t>
            </w:r>
            <w:r w:rsidR="00132535">
              <w:t>66</w:t>
            </w:r>
            <w:r>
              <w:t xml:space="preserve">% expected and </w:t>
            </w:r>
            <w:r w:rsidR="00132535">
              <w:t>34</w:t>
            </w:r>
            <w:r>
              <w:t>% depth. FSM pupils (</w:t>
            </w:r>
            <w:r w:rsidR="00132535">
              <w:t>10</w:t>
            </w:r>
            <w:r>
              <w:t xml:space="preserve">) </w:t>
            </w:r>
            <w:r w:rsidR="00132535">
              <w:t>50</w:t>
            </w:r>
            <w:r>
              <w:t xml:space="preserve">% expected and </w:t>
            </w:r>
            <w:r w:rsidR="00132535">
              <w:t>20</w:t>
            </w:r>
            <w:r>
              <w:t xml:space="preserve">% depth. </w:t>
            </w:r>
          </w:p>
          <w:p w14:paraId="261067FA" w14:textId="695CD0DA" w:rsidR="008855AE" w:rsidRDefault="008855AE" w:rsidP="008855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proofErr w:type="spellStart"/>
            <w:r w:rsidRPr="005F43B3">
              <w:rPr>
                <w:b/>
                <w:bCs/>
              </w:rPr>
              <w:t>Yr</w:t>
            </w:r>
            <w:proofErr w:type="spellEnd"/>
            <w:r w:rsidRPr="005F43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>
              <w:t xml:space="preserve">: </w:t>
            </w:r>
            <w:r w:rsidR="00132535">
              <w:t>74</w:t>
            </w:r>
            <w:r>
              <w:t xml:space="preserve">% expected and </w:t>
            </w:r>
            <w:r w:rsidR="00132535">
              <w:t>4</w:t>
            </w:r>
            <w:r>
              <w:t>1% depth. FSM pupils (</w:t>
            </w:r>
            <w:r w:rsidR="00132535">
              <w:t>6</w:t>
            </w:r>
            <w:r>
              <w:t xml:space="preserve">) </w:t>
            </w:r>
            <w:r w:rsidR="00132535">
              <w:t>67</w:t>
            </w:r>
            <w:r>
              <w:t>% expected and 0% depth.</w:t>
            </w:r>
          </w:p>
          <w:p w14:paraId="0B9B3067" w14:textId="7982046A" w:rsidR="003F5557" w:rsidRPr="00132535" w:rsidRDefault="008855AE" w:rsidP="00132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0" w:hanging="170"/>
            </w:pPr>
            <w:proofErr w:type="spellStart"/>
            <w:r>
              <w:rPr>
                <w:b/>
                <w:bCs/>
              </w:rPr>
              <w:t>Yr</w:t>
            </w:r>
            <w:proofErr w:type="spellEnd"/>
            <w:r>
              <w:rPr>
                <w:b/>
                <w:bCs/>
              </w:rPr>
              <w:t xml:space="preserve"> 6</w:t>
            </w:r>
            <w:r w:rsidRPr="005F43B3">
              <w:t>:</w:t>
            </w:r>
            <w:r>
              <w:t xml:space="preserve"> Below national </w:t>
            </w:r>
            <w:r w:rsidR="00132535">
              <w:t>56</w:t>
            </w:r>
            <w:r>
              <w:t>% expected and 1</w:t>
            </w:r>
            <w:r w:rsidR="00132535">
              <w:t>8</w:t>
            </w:r>
            <w:r>
              <w:t>% depth. FSM (</w:t>
            </w:r>
            <w:r w:rsidR="00132535">
              <w:t>6</w:t>
            </w:r>
            <w:r>
              <w:t xml:space="preserve">) </w:t>
            </w:r>
            <w:r w:rsidR="00132535">
              <w:t>67</w:t>
            </w:r>
            <w:r>
              <w:t>% expected and 0% depth.</w:t>
            </w:r>
            <w:r w:rsidR="00132535">
              <w:t xml:space="preserve"> (See achievement report for breakdown of prior attainment groups). </w:t>
            </w:r>
          </w:p>
        </w:tc>
      </w:tr>
    </w:tbl>
    <w:p w14:paraId="799C35C8" w14:textId="77777777" w:rsidR="0075462C" w:rsidRDefault="0075462C" w:rsidP="0075462C">
      <w:pPr>
        <w:spacing w:after="0" w:line="240" w:lineRule="auto"/>
      </w:pPr>
    </w:p>
    <w:tbl>
      <w:tblPr>
        <w:tblStyle w:val="TableGrid"/>
        <w:tblW w:w="10661" w:type="dxa"/>
        <w:tblInd w:w="421" w:type="dxa"/>
        <w:tblLook w:val="04A0" w:firstRow="1" w:lastRow="0" w:firstColumn="1" w:lastColumn="0" w:noHBand="0" w:noVBand="1"/>
      </w:tblPr>
      <w:tblGrid>
        <w:gridCol w:w="2223"/>
        <w:gridCol w:w="2227"/>
        <w:gridCol w:w="6211"/>
      </w:tblGrid>
      <w:tr w:rsidR="0075462C" w:rsidRPr="00CA2569" w14:paraId="35B0CF77" w14:textId="77777777" w:rsidTr="007270CA">
        <w:trPr>
          <w:trHeight w:val="469"/>
        </w:trPr>
        <w:tc>
          <w:tcPr>
            <w:tcW w:w="10661" w:type="dxa"/>
            <w:gridSpan w:val="3"/>
            <w:shd w:val="clear" w:color="auto" w:fill="FF0000"/>
          </w:tcPr>
          <w:p w14:paraId="78C8429F" w14:textId="77777777" w:rsidR="0075462C" w:rsidRPr="00CA2569" w:rsidRDefault="0075462C" w:rsidP="00FF7238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Targeted Academic Support for the Current Academic Year </w:t>
            </w:r>
          </w:p>
        </w:tc>
      </w:tr>
      <w:tr w:rsidR="00254B5D" w:rsidRPr="00CA2569" w14:paraId="0A5BE760" w14:textId="77777777" w:rsidTr="007270CA">
        <w:trPr>
          <w:trHeight w:val="450"/>
        </w:trPr>
        <w:tc>
          <w:tcPr>
            <w:tcW w:w="2551" w:type="dxa"/>
            <w:shd w:val="clear" w:color="auto" w:fill="F7CAAC" w:themeFill="accent2" w:themeFillTint="66"/>
          </w:tcPr>
          <w:p w14:paraId="5B13CBE4" w14:textId="77777777" w:rsidR="00254B5D" w:rsidRPr="00CA2569" w:rsidRDefault="00254B5D" w:rsidP="00254B5D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Measure 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24D14539" w14:textId="13EFA093" w:rsidR="00254B5D" w:rsidRPr="00CA2569" w:rsidRDefault="00254B5D" w:rsidP="00254B5D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</w:t>
            </w:r>
          </w:p>
        </w:tc>
        <w:tc>
          <w:tcPr>
            <w:tcW w:w="5558" w:type="dxa"/>
            <w:shd w:val="clear" w:color="auto" w:fill="F7CAAC" w:themeFill="accent2" w:themeFillTint="66"/>
          </w:tcPr>
          <w:p w14:paraId="2181C47E" w14:textId="6AEFD46F" w:rsidR="00254B5D" w:rsidRPr="00CA2569" w:rsidRDefault="00254B5D" w:rsidP="00254B5D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Evaluation and Impact</w:t>
            </w:r>
          </w:p>
        </w:tc>
      </w:tr>
      <w:tr w:rsidR="00254B5D" w14:paraId="55946A05" w14:textId="77777777" w:rsidTr="007270CA">
        <w:trPr>
          <w:trHeight w:val="2872"/>
        </w:trPr>
        <w:tc>
          <w:tcPr>
            <w:tcW w:w="2551" w:type="dxa"/>
          </w:tcPr>
          <w:p w14:paraId="02C7F9F0" w14:textId="77777777" w:rsidR="00254B5D" w:rsidRDefault="00254B5D" w:rsidP="003F5557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Priority 1:</w:t>
            </w:r>
          </w:p>
          <w:p w14:paraId="05E07EF8" w14:textId="77777777" w:rsidR="00254B5D" w:rsidRDefault="00254B5D" w:rsidP="003F5557">
            <w:pPr>
              <w:spacing w:after="0" w:line="240" w:lineRule="auto"/>
            </w:pPr>
            <w:r w:rsidRPr="00B940A3">
              <w:t>In school ga</w:t>
            </w:r>
            <w:r>
              <w:t xml:space="preserve">p in Maths attainment for </w:t>
            </w:r>
            <w:r w:rsidRPr="00B940A3">
              <w:t xml:space="preserve">Juniors is narrowed and closed when compared to national figures. </w:t>
            </w:r>
          </w:p>
          <w:p w14:paraId="3E4B95BD" w14:textId="77777777" w:rsidR="00254B5D" w:rsidRDefault="00254B5D" w:rsidP="00FF7238">
            <w:pPr>
              <w:spacing w:after="0" w:line="240" w:lineRule="auto"/>
              <w:ind w:left="142"/>
            </w:pPr>
          </w:p>
          <w:p w14:paraId="74BC4CAC" w14:textId="0F61E240" w:rsidR="00254B5D" w:rsidRDefault="00254B5D" w:rsidP="00254B5D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£</w:t>
            </w:r>
            <w:r w:rsidR="008910AE">
              <w:rPr>
                <w:color w:val="FF0000"/>
                <w:sz w:val="24"/>
                <w:szCs w:val="24"/>
              </w:rPr>
              <w:t>8</w:t>
            </w:r>
            <w:r>
              <w:rPr>
                <w:color w:val="FF0000"/>
                <w:sz w:val="24"/>
                <w:szCs w:val="24"/>
              </w:rPr>
              <w:t>,000</w:t>
            </w:r>
          </w:p>
          <w:p w14:paraId="4CCC182C" w14:textId="10739C9B" w:rsidR="00254B5D" w:rsidRPr="00B940A3" w:rsidRDefault="00254B5D" w:rsidP="00FF7238">
            <w:pPr>
              <w:spacing w:after="0" w:line="240" w:lineRule="auto"/>
              <w:ind w:left="142"/>
            </w:pPr>
          </w:p>
        </w:tc>
        <w:tc>
          <w:tcPr>
            <w:tcW w:w="2552" w:type="dxa"/>
          </w:tcPr>
          <w:p w14:paraId="3BF5E7FD" w14:textId="29A06E9E" w:rsidR="007270CA" w:rsidRDefault="007270CA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>Infant TAs trained in delivery of Number Stacks for Infant pupils.</w:t>
            </w:r>
          </w:p>
          <w:p w14:paraId="0AC07B98" w14:textId="4244F1C0" w:rsidR="007270CA" w:rsidRDefault="007E462B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Outside tutor employed to deliver Number Stacks to Yr2, </w:t>
            </w:r>
            <w:proofErr w:type="spellStart"/>
            <w:r>
              <w:t>Yr</w:t>
            </w:r>
            <w:proofErr w:type="spellEnd"/>
            <w:r>
              <w:t xml:space="preserve"> 3</w:t>
            </w:r>
            <w:r w:rsidR="008910AE">
              <w:t>,</w:t>
            </w:r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4</w:t>
            </w:r>
            <w:r w:rsidR="008910AE">
              <w:t xml:space="preserve"> and </w:t>
            </w:r>
            <w:proofErr w:type="spellStart"/>
            <w:r w:rsidR="008910AE">
              <w:t>Yr</w:t>
            </w:r>
            <w:proofErr w:type="spellEnd"/>
            <w:r w:rsidR="008910AE">
              <w:t xml:space="preserve"> 5</w:t>
            </w:r>
            <w:r>
              <w:t xml:space="preserve"> pupils</w:t>
            </w:r>
            <w:r w:rsidR="008910AE">
              <w:t xml:space="preserve">. </w:t>
            </w:r>
          </w:p>
          <w:p w14:paraId="69FB35E1" w14:textId="4B144850" w:rsidR="008910AE" w:rsidRDefault="008910AE" w:rsidP="007270C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7" w:hanging="177"/>
            </w:pPr>
            <w:r>
              <w:t xml:space="preserve">EYFS: Additional adult so teacher and TA with class of 17 pupils each. </w:t>
            </w:r>
          </w:p>
          <w:p w14:paraId="39F5C29E" w14:textId="5BBC7B1D" w:rsidR="00254B5D" w:rsidRDefault="00254B5D" w:rsidP="008910AE">
            <w:pPr>
              <w:spacing w:after="0" w:line="240" w:lineRule="auto"/>
            </w:pPr>
          </w:p>
        </w:tc>
        <w:tc>
          <w:tcPr>
            <w:tcW w:w="55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1"/>
              <w:gridCol w:w="608"/>
              <w:gridCol w:w="723"/>
              <w:gridCol w:w="608"/>
              <w:gridCol w:w="723"/>
              <w:gridCol w:w="608"/>
              <w:gridCol w:w="723"/>
              <w:gridCol w:w="608"/>
              <w:gridCol w:w="723"/>
            </w:tblGrid>
            <w:tr w:rsidR="00821A98" w14:paraId="550933DF" w14:textId="77777777" w:rsidTr="00821A98">
              <w:tc>
                <w:tcPr>
                  <w:tcW w:w="662" w:type="dxa"/>
                  <w:vMerge w:val="restart"/>
                  <w:shd w:val="clear" w:color="auto" w:fill="F4B083" w:themeFill="accent2" w:themeFillTint="99"/>
                  <w:vAlign w:val="center"/>
                </w:tcPr>
                <w:p w14:paraId="1E23DC87" w14:textId="7F04D3AC" w:rsidR="00821A98" w:rsidRDefault="00821A98" w:rsidP="00821A98">
                  <w:pPr>
                    <w:spacing w:after="0" w:line="240" w:lineRule="auto"/>
                    <w:jc w:val="center"/>
                  </w:pPr>
                  <w:proofErr w:type="spellStart"/>
                  <w:r>
                    <w:t>Yr</w:t>
                  </w:r>
                  <w:proofErr w:type="spellEnd"/>
                </w:p>
              </w:tc>
              <w:tc>
                <w:tcPr>
                  <w:tcW w:w="1168" w:type="dxa"/>
                  <w:gridSpan w:val="2"/>
                  <w:shd w:val="clear" w:color="auto" w:fill="F4B083" w:themeFill="accent2" w:themeFillTint="99"/>
                </w:tcPr>
                <w:p w14:paraId="2201A65A" w14:textId="399BC60B" w:rsidR="00821A98" w:rsidRPr="00821A98" w:rsidRDefault="00821A98" w:rsidP="002761F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Place Value</w:t>
                  </w:r>
                </w:p>
              </w:tc>
              <w:tc>
                <w:tcPr>
                  <w:tcW w:w="1166" w:type="dxa"/>
                  <w:gridSpan w:val="2"/>
                  <w:shd w:val="clear" w:color="auto" w:fill="F4B083" w:themeFill="accent2" w:themeFillTint="99"/>
                </w:tcPr>
                <w:p w14:paraId="1D679A73" w14:textId="7CDD873D" w:rsidR="00821A98" w:rsidRPr="00821A98" w:rsidRDefault="00821A98" w:rsidP="002761F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Add/Subtract</w:t>
                  </w:r>
                </w:p>
              </w:tc>
              <w:tc>
                <w:tcPr>
                  <w:tcW w:w="1168" w:type="dxa"/>
                  <w:gridSpan w:val="2"/>
                  <w:shd w:val="clear" w:color="auto" w:fill="F4B083" w:themeFill="accent2" w:themeFillTint="99"/>
                </w:tcPr>
                <w:p w14:paraId="619C73B6" w14:textId="73CDF2C9" w:rsidR="00821A98" w:rsidRPr="00821A98" w:rsidRDefault="00821A98" w:rsidP="002761F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Times/Divide</w:t>
                  </w:r>
                </w:p>
              </w:tc>
              <w:tc>
                <w:tcPr>
                  <w:tcW w:w="1168" w:type="dxa"/>
                  <w:gridSpan w:val="2"/>
                  <w:shd w:val="clear" w:color="auto" w:fill="F4B083" w:themeFill="accent2" w:themeFillTint="99"/>
                </w:tcPr>
                <w:p w14:paraId="626EF065" w14:textId="2A7AB3DA" w:rsidR="00821A98" w:rsidRPr="00821A98" w:rsidRDefault="00821A98" w:rsidP="002761F1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Fraction</w:t>
                  </w:r>
                </w:p>
              </w:tc>
            </w:tr>
            <w:tr w:rsidR="00821A98" w14:paraId="77A73ABE" w14:textId="77777777" w:rsidTr="00821A98">
              <w:tc>
                <w:tcPr>
                  <w:tcW w:w="662" w:type="dxa"/>
                  <w:vMerge/>
                  <w:shd w:val="clear" w:color="auto" w:fill="F4B083" w:themeFill="accent2" w:themeFillTint="99"/>
                </w:tcPr>
                <w:p w14:paraId="5D17E267" w14:textId="3427A071" w:rsidR="00821A98" w:rsidRDefault="00821A98" w:rsidP="002761F1">
                  <w:pPr>
                    <w:spacing w:after="0" w:line="240" w:lineRule="auto"/>
                  </w:pPr>
                </w:p>
              </w:tc>
              <w:tc>
                <w:tcPr>
                  <w:tcW w:w="584" w:type="dxa"/>
                  <w:shd w:val="clear" w:color="auto" w:fill="F7CAAC" w:themeFill="accent2" w:themeFillTint="66"/>
                  <w:vAlign w:val="center"/>
                </w:tcPr>
                <w:p w14:paraId="785574F0" w14:textId="5C83B277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Pupil</w:t>
                  </w:r>
                </w:p>
              </w:tc>
              <w:tc>
                <w:tcPr>
                  <w:tcW w:w="584" w:type="dxa"/>
                  <w:shd w:val="clear" w:color="auto" w:fill="F7CAAC" w:themeFill="accent2" w:themeFillTint="66"/>
                  <w:vAlign w:val="center"/>
                </w:tcPr>
                <w:p w14:paraId="01740E22" w14:textId="0A6C8B72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Gap closed</w:t>
                  </w:r>
                </w:p>
              </w:tc>
              <w:tc>
                <w:tcPr>
                  <w:tcW w:w="583" w:type="dxa"/>
                  <w:shd w:val="clear" w:color="auto" w:fill="F7CAAC" w:themeFill="accent2" w:themeFillTint="66"/>
                  <w:vAlign w:val="center"/>
                </w:tcPr>
                <w:p w14:paraId="5C4ED40A" w14:textId="2537BE7C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Pupil</w:t>
                  </w:r>
                </w:p>
              </w:tc>
              <w:tc>
                <w:tcPr>
                  <w:tcW w:w="583" w:type="dxa"/>
                  <w:shd w:val="clear" w:color="auto" w:fill="F7CAAC" w:themeFill="accent2" w:themeFillTint="66"/>
                  <w:vAlign w:val="center"/>
                </w:tcPr>
                <w:p w14:paraId="57296B7C" w14:textId="38BF4E43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Gap closed</w:t>
                  </w:r>
                </w:p>
              </w:tc>
              <w:tc>
                <w:tcPr>
                  <w:tcW w:w="584" w:type="dxa"/>
                  <w:shd w:val="clear" w:color="auto" w:fill="F7CAAC" w:themeFill="accent2" w:themeFillTint="66"/>
                  <w:vAlign w:val="center"/>
                </w:tcPr>
                <w:p w14:paraId="6B0D4FE8" w14:textId="66935DCE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Pupil</w:t>
                  </w:r>
                </w:p>
              </w:tc>
              <w:tc>
                <w:tcPr>
                  <w:tcW w:w="584" w:type="dxa"/>
                  <w:shd w:val="clear" w:color="auto" w:fill="F7CAAC" w:themeFill="accent2" w:themeFillTint="66"/>
                  <w:vAlign w:val="center"/>
                </w:tcPr>
                <w:p w14:paraId="78BF6BA4" w14:textId="1E2A396F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Gap closed</w:t>
                  </w:r>
                </w:p>
              </w:tc>
              <w:tc>
                <w:tcPr>
                  <w:tcW w:w="584" w:type="dxa"/>
                  <w:shd w:val="clear" w:color="auto" w:fill="F7CAAC" w:themeFill="accent2" w:themeFillTint="66"/>
                  <w:vAlign w:val="center"/>
                </w:tcPr>
                <w:p w14:paraId="6291763A" w14:textId="3E82A1F8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Pupil</w:t>
                  </w:r>
                </w:p>
              </w:tc>
              <w:tc>
                <w:tcPr>
                  <w:tcW w:w="584" w:type="dxa"/>
                  <w:shd w:val="clear" w:color="auto" w:fill="F7CAAC" w:themeFill="accent2" w:themeFillTint="66"/>
                  <w:vAlign w:val="center"/>
                </w:tcPr>
                <w:p w14:paraId="01716E75" w14:textId="54EA09AD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21A98">
                    <w:rPr>
                      <w:b/>
                      <w:bCs/>
                      <w:sz w:val="16"/>
                      <w:szCs w:val="16"/>
                    </w:rPr>
                    <w:t>Gap closed</w:t>
                  </w:r>
                </w:p>
              </w:tc>
            </w:tr>
            <w:tr w:rsidR="00821A98" w14:paraId="6C4FE020" w14:textId="77777777" w:rsidTr="00821A98">
              <w:tc>
                <w:tcPr>
                  <w:tcW w:w="662" w:type="dxa"/>
                  <w:shd w:val="clear" w:color="auto" w:fill="F4B083" w:themeFill="accent2" w:themeFillTint="99"/>
                </w:tcPr>
                <w:p w14:paraId="08B61658" w14:textId="4F56131A" w:rsidR="00821A98" w:rsidRDefault="00821A98" w:rsidP="002761F1">
                  <w:pPr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584" w:type="dxa"/>
                  <w:vAlign w:val="center"/>
                </w:tcPr>
                <w:p w14:paraId="4C83EBC9" w14:textId="65632C78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84" w:type="dxa"/>
                  <w:vAlign w:val="center"/>
                </w:tcPr>
                <w:p w14:paraId="7BF9523C" w14:textId="3272FC87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83" w:type="dxa"/>
                  <w:vAlign w:val="center"/>
                </w:tcPr>
                <w:p w14:paraId="26D4CE4C" w14:textId="61BE63F2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83" w:type="dxa"/>
                  <w:vAlign w:val="center"/>
                </w:tcPr>
                <w:p w14:paraId="4CFAEEE2" w14:textId="752C1EC4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84" w:type="dxa"/>
                  <w:vAlign w:val="center"/>
                </w:tcPr>
                <w:p w14:paraId="51AB338F" w14:textId="366783E9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84" w:type="dxa"/>
                  <w:vAlign w:val="center"/>
                </w:tcPr>
                <w:p w14:paraId="2FE5DE86" w14:textId="7063AEAD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84" w:type="dxa"/>
                  <w:vAlign w:val="center"/>
                </w:tcPr>
                <w:p w14:paraId="209691E6" w14:textId="657F6DE3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84" w:type="dxa"/>
                  <w:vAlign w:val="center"/>
                </w:tcPr>
                <w:p w14:paraId="4B67E884" w14:textId="6E4D946B" w:rsidR="00821A98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821A98" w14:paraId="6966DC2A" w14:textId="77777777" w:rsidTr="00821A98">
              <w:tc>
                <w:tcPr>
                  <w:tcW w:w="662" w:type="dxa"/>
                  <w:shd w:val="clear" w:color="auto" w:fill="F4B083" w:themeFill="accent2" w:themeFillTint="99"/>
                </w:tcPr>
                <w:p w14:paraId="65858CB9" w14:textId="71516955" w:rsidR="005F16D4" w:rsidRDefault="005F16D4" w:rsidP="002761F1">
                  <w:pPr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584" w:type="dxa"/>
                  <w:vAlign w:val="center"/>
                </w:tcPr>
                <w:p w14:paraId="4F748AC5" w14:textId="3143AE6E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4" w:type="dxa"/>
                  <w:vAlign w:val="center"/>
                </w:tcPr>
                <w:p w14:paraId="44FC812E" w14:textId="0C87789F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3" w:type="dxa"/>
                  <w:vAlign w:val="center"/>
                </w:tcPr>
                <w:p w14:paraId="25F4A4D8" w14:textId="4700C5D2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83" w:type="dxa"/>
                  <w:vAlign w:val="center"/>
                </w:tcPr>
                <w:p w14:paraId="3564B1DC" w14:textId="5B858D99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4" w:type="dxa"/>
                  <w:vAlign w:val="center"/>
                </w:tcPr>
                <w:p w14:paraId="73081205" w14:textId="6F6717B9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84" w:type="dxa"/>
                  <w:vAlign w:val="center"/>
                </w:tcPr>
                <w:p w14:paraId="17A84680" w14:textId="3D9DDC1B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84" w:type="dxa"/>
                  <w:vAlign w:val="center"/>
                </w:tcPr>
                <w:p w14:paraId="2DA55991" w14:textId="034E375A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84" w:type="dxa"/>
                  <w:vAlign w:val="center"/>
                </w:tcPr>
                <w:p w14:paraId="3B69EAF0" w14:textId="34BB5FAE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</w:tr>
            <w:tr w:rsidR="00821A98" w14:paraId="2DBFE875" w14:textId="77777777" w:rsidTr="00821A98">
              <w:tc>
                <w:tcPr>
                  <w:tcW w:w="662" w:type="dxa"/>
                  <w:shd w:val="clear" w:color="auto" w:fill="F4B083" w:themeFill="accent2" w:themeFillTint="99"/>
                </w:tcPr>
                <w:p w14:paraId="2A193570" w14:textId="5B42E8AC" w:rsidR="005F16D4" w:rsidRDefault="005F16D4" w:rsidP="002761F1">
                  <w:pPr>
                    <w:spacing w:after="0" w:line="240" w:lineRule="auto"/>
                  </w:pPr>
                  <w:r>
                    <w:t>4</w:t>
                  </w:r>
                </w:p>
              </w:tc>
              <w:tc>
                <w:tcPr>
                  <w:tcW w:w="584" w:type="dxa"/>
                  <w:vAlign w:val="center"/>
                </w:tcPr>
                <w:p w14:paraId="2423DF08" w14:textId="135264E4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4" w:type="dxa"/>
                  <w:vAlign w:val="center"/>
                </w:tcPr>
                <w:p w14:paraId="0F300B7A" w14:textId="5AF527AA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3" w:type="dxa"/>
                  <w:vAlign w:val="center"/>
                </w:tcPr>
                <w:p w14:paraId="41350B6E" w14:textId="299FE5A5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83" w:type="dxa"/>
                  <w:vAlign w:val="center"/>
                </w:tcPr>
                <w:p w14:paraId="2B045913" w14:textId="7639AA54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4" w:type="dxa"/>
                  <w:vAlign w:val="center"/>
                </w:tcPr>
                <w:p w14:paraId="60D9E6C5" w14:textId="7997B293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84" w:type="dxa"/>
                  <w:vAlign w:val="center"/>
                </w:tcPr>
                <w:p w14:paraId="22770E9A" w14:textId="6B27DE9D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84" w:type="dxa"/>
                  <w:vAlign w:val="center"/>
                </w:tcPr>
                <w:p w14:paraId="4C77E729" w14:textId="1245A0C7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84" w:type="dxa"/>
                  <w:vAlign w:val="center"/>
                </w:tcPr>
                <w:p w14:paraId="2EEBF918" w14:textId="14359AAF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821A98" w14:paraId="55762D90" w14:textId="77777777" w:rsidTr="00821A98">
              <w:tc>
                <w:tcPr>
                  <w:tcW w:w="662" w:type="dxa"/>
                  <w:shd w:val="clear" w:color="auto" w:fill="F4B083" w:themeFill="accent2" w:themeFillTint="99"/>
                </w:tcPr>
                <w:p w14:paraId="3645A912" w14:textId="30E505FF" w:rsidR="005F16D4" w:rsidRDefault="005F16D4" w:rsidP="002761F1">
                  <w:pPr>
                    <w:spacing w:after="0" w:line="240" w:lineRule="auto"/>
                  </w:pPr>
                  <w:r>
                    <w:t>5</w:t>
                  </w:r>
                </w:p>
              </w:tc>
              <w:tc>
                <w:tcPr>
                  <w:tcW w:w="584" w:type="dxa"/>
                  <w:vAlign w:val="center"/>
                </w:tcPr>
                <w:p w14:paraId="2973E5D7" w14:textId="677BDB60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4" w:type="dxa"/>
                  <w:vAlign w:val="center"/>
                </w:tcPr>
                <w:p w14:paraId="5E453BD3" w14:textId="159BEDBC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83" w:type="dxa"/>
                  <w:shd w:val="clear" w:color="auto" w:fill="000000" w:themeFill="text1"/>
                  <w:vAlign w:val="center"/>
                </w:tcPr>
                <w:p w14:paraId="2114FBE0" w14:textId="77777777" w:rsidR="005F16D4" w:rsidRPr="00821A98" w:rsidRDefault="005F16D4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  <w:shd w:val="clear" w:color="auto" w:fill="000000" w:themeFill="text1"/>
                  <w:vAlign w:val="center"/>
                </w:tcPr>
                <w:p w14:paraId="3D0F7B45" w14:textId="77777777" w:rsidR="005F16D4" w:rsidRPr="00821A98" w:rsidRDefault="005F16D4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14:paraId="15F8D711" w14:textId="19FC0271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4" w:type="dxa"/>
                  <w:vAlign w:val="center"/>
                </w:tcPr>
                <w:p w14:paraId="065F6838" w14:textId="73F664EA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84" w:type="dxa"/>
                  <w:vAlign w:val="center"/>
                </w:tcPr>
                <w:p w14:paraId="152DD2EF" w14:textId="4E8A6A3B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4" w:type="dxa"/>
                  <w:vAlign w:val="center"/>
                </w:tcPr>
                <w:p w14:paraId="1A01E335" w14:textId="2F1A31C7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821A98" w14:paraId="7B1C1A09" w14:textId="77777777" w:rsidTr="00821A98">
              <w:tc>
                <w:tcPr>
                  <w:tcW w:w="662" w:type="dxa"/>
                  <w:shd w:val="clear" w:color="auto" w:fill="F4B083" w:themeFill="accent2" w:themeFillTint="99"/>
                </w:tcPr>
                <w:p w14:paraId="1CC30C50" w14:textId="23A6FBA3" w:rsidR="005F16D4" w:rsidRDefault="005F16D4" w:rsidP="002761F1">
                  <w:pPr>
                    <w:spacing w:after="0" w:line="240" w:lineRule="auto"/>
                  </w:pPr>
                  <w:r>
                    <w:t>Total</w:t>
                  </w:r>
                </w:p>
              </w:tc>
              <w:tc>
                <w:tcPr>
                  <w:tcW w:w="584" w:type="dxa"/>
                </w:tcPr>
                <w:p w14:paraId="01BC29FD" w14:textId="77DD27FE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84" w:type="dxa"/>
                </w:tcPr>
                <w:p w14:paraId="2AA388FB" w14:textId="095B6D06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83" w:type="dxa"/>
                </w:tcPr>
                <w:p w14:paraId="5ECAD642" w14:textId="1F41E661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83" w:type="dxa"/>
                </w:tcPr>
                <w:p w14:paraId="268A80FD" w14:textId="4AD11C88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84" w:type="dxa"/>
                </w:tcPr>
                <w:p w14:paraId="2A8329AD" w14:textId="68A8EEDA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84" w:type="dxa"/>
                </w:tcPr>
                <w:p w14:paraId="04E29B6E" w14:textId="330A55CE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84" w:type="dxa"/>
                </w:tcPr>
                <w:p w14:paraId="04718CAD" w14:textId="13A13144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84" w:type="dxa"/>
                </w:tcPr>
                <w:p w14:paraId="132E87CA" w14:textId="55F85557" w:rsidR="005F16D4" w:rsidRPr="00821A98" w:rsidRDefault="00821A98" w:rsidP="00821A9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</w:t>
                  </w:r>
                </w:p>
              </w:tc>
            </w:tr>
            <w:tr w:rsidR="005F16D4" w14:paraId="499CDB85" w14:textId="77777777" w:rsidTr="00F653E9">
              <w:tc>
                <w:tcPr>
                  <w:tcW w:w="5332" w:type="dxa"/>
                  <w:gridSpan w:val="9"/>
                </w:tcPr>
                <w:p w14:paraId="0FAF0D45" w14:textId="67C402A7" w:rsidR="005F16D4" w:rsidRPr="005F16D4" w:rsidRDefault="005F16D4" w:rsidP="002761F1">
                  <w:pPr>
                    <w:spacing w:after="0" w:line="240" w:lineRule="auto"/>
                    <w:rPr>
                      <w:i/>
                      <w:iCs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>Where</w:t>
                  </w:r>
                  <w:r w:rsidR="00821A98">
                    <w:rPr>
                      <w:i/>
                      <w:iCs/>
                      <w:sz w:val="18"/>
                      <w:szCs w:val="18"/>
                    </w:rPr>
                    <w:t xml:space="preserve"> the gap not fully closed 100% narrowed. </w:t>
                  </w:r>
                </w:p>
              </w:tc>
            </w:tr>
          </w:tbl>
          <w:p w14:paraId="09ED37E4" w14:textId="77777777" w:rsidR="00F931F7" w:rsidRPr="00F931F7" w:rsidRDefault="00F931F7" w:rsidP="002761F1">
            <w:pPr>
              <w:spacing w:after="0" w:line="240" w:lineRule="auto"/>
            </w:pPr>
          </w:p>
          <w:p w14:paraId="04EA72B1" w14:textId="092B93CC" w:rsidR="002761F1" w:rsidRPr="002761F1" w:rsidRDefault="002761F1" w:rsidP="002761F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See Number stacks evaluations</w:t>
            </w:r>
            <w:r w:rsidR="00F931F7">
              <w:rPr>
                <w:i/>
                <w:iCs/>
              </w:rPr>
              <w:t xml:space="preserve"> that detail each individual pupils’ progress in closing the gap to their </w:t>
            </w:r>
            <w:proofErr w:type="gramStart"/>
            <w:r w:rsidR="00F931F7">
              <w:rPr>
                <w:i/>
                <w:iCs/>
              </w:rPr>
              <w:t>age related</w:t>
            </w:r>
            <w:proofErr w:type="gramEnd"/>
            <w:r w:rsidR="00F931F7">
              <w:rPr>
                <w:i/>
                <w:iCs/>
              </w:rPr>
              <w:t xml:space="preserve"> level. </w:t>
            </w:r>
            <w:r w:rsidR="008855AE">
              <w:rPr>
                <w:i/>
                <w:iCs/>
              </w:rPr>
              <w:t xml:space="preserve"> </w:t>
            </w:r>
          </w:p>
          <w:p w14:paraId="19A7CDF2" w14:textId="278BD1A1" w:rsidR="00254B5D" w:rsidRPr="0002628F" w:rsidRDefault="00254B5D" w:rsidP="0002628F">
            <w:pPr>
              <w:spacing w:after="0" w:line="240" w:lineRule="auto"/>
            </w:pPr>
          </w:p>
        </w:tc>
      </w:tr>
      <w:tr w:rsidR="00254B5D" w14:paraId="58B374E2" w14:textId="77777777" w:rsidTr="007270CA">
        <w:trPr>
          <w:trHeight w:val="2628"/>
        </w:trPr>
        <w:tc>
          <w:tcPr>
            <w:tcW w:w="2551" w:type="dxa"/>
          </w:tcPr>
          <w:p w14:paraId="39B428FE" w14:textId="77777777" w:rsidR="00254B5D" w:rsidRDefault="00254B5D" w:rsidP="00FF7238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Priority 2: </w:t>
            </w:r>
          </w:p>
          <w:p w14:paraId="14BD3F5D" w14:textId="77777777" w:rsidR="00254B5D" w:rsidRDefault="00254B5D" w:rsidP="00FF7238">
            <w:pPr>
              <w:spacing w:after="0" w:line="240" w:lineRule="auto"/>
              <w:ind w:left="142"/>
            </w:pPr>
            <w:r w:rsidRPr="00B940A3">
              <w:t>Pupils achieving phonics p</w:t>
            </w:r>
            <w:r>
              <w:t>ass rate at least over 85</w:t>
            </w:r>
            <w:r w:rsidRPr="00B940A3">
              <w:t xml:space="preserve">% and average score 34 or more and progress of PP pupils in line with other pupils within phonics. </w:t>
            </w:r>
          </w:p>
          <w:p w14:paraId="6971459D" w14:textId="77777777" w:rsidR="00254B5D" w:rsidRDefault="00254B5D" w:rsidP="00FF7238">
            <w:pPr>
              <w:spacing w:after="0" w:line="240" w:lineRule="auto"/>
              <w:ind w:left="142"/>
            </w:pPr>
          </w:p>
          <w:p w14:paraId="39887EC3" w14:textId="34D89F54" w:rsidR="00254B5D" w:rsidRDefault="00254B5D" w:rsidP="00254B5D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£</w:t>
            </w:r>
            <w:r w:rsidR="008910AE">
              <w:rPr>
                <w:color w:val="FF0000"/>
                <w:sz w:val="24"/>
                <w:szCs w:val="24"/>
              </w:rPr>
              <w:t>6</w:t>
            </w:r>
            <w:r>
              <w:rPr>
                <w:color w:val="FF0000"/>
                <w:sz w:val="24"/>
                <w:szCs w:val="24"/>
              </w:rPr>
              <w:t>,000</w:t>
            </w:r>
          </w:p>
          <w:p w14:paraId="4F9576AF" w14:textId="3B3488CF" w:rsidR="00254B5D" w:rsidRPr="00B940A3" w:rsidRDefault="00254B5D" w:rsidP="00FF7238">
            <w:pPr>
              <w:spacing w:after="0" w:line="240" w:lineRule="auto"/>
              <w:ind w:left="142"/>
            </w:pPr>
          </w:p>
        </w:tc>
        <w:tc>
          <w:tcPr>
            <w:tcW w:w="2552" w:type="dxa"/>
          </w:tcPr>
          <w:p w14:paraId="46D8E703" w14:textId="433C6165" w:rsidR="00254B5D" w:rsidRDefault="007E462B" w:rsidP="007E46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7" w:hanging="177"/>
            </w:pPr>
            <w:r>
              <w:t>1 to 1 intervention for lower 20% of pupils for phonics</w:t>
            </w:r>
            <w:r w:rsidR="008910AE">
              <w:t xml:space="preserve"> in Year 1 and Early Years.</w:t>
            </w:r>
          </w:p>
          <w:p w14:paraId="7A2BCB6F" w14:textId="77777777" w:rsidR="008910AE" w:rsidRDefault="008910AE" w:rsidP="007E46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7" w:hanging="177"/>
            </w:pPr>
            <w:r>
              <w:t>Small group intervention for Year 1 pupils.</w:t>
            </w:r>
          </w:p>
          <w:p w14:paraId="7C59500A" w14:textId="0D6D127F" w:rsidR="008910AE" w:rsidRDefault="008910AE" w:rsidP="007E462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7" w:hanging="177"/>
            </w:pPr>
            <w:r>
              <w:t xml:space="preserve">Small group intervention support for KS2 pupils. </w:t>
            </w:r>
          </w:p>
        </w:tc>
        <w:tc>
          <w:tcPr>
            <w:tcW w:w="5558" w:type="dxa"/>
          </w:tcPr>
          <w:p w14:paraId="6BD59E59" w14:textId="51C51F03" w:rsidR="003E2159" w:rsidRDefault="003E2159" w:rsidP="00286A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>Word reading in EYFS in line with national at 7</w:t>
            </w:r>
            <w:r w:rsidR="00252FAC">
              <w:t>9</w:t>
            </w:r>
            <w:r>
              <w:t xml:space="preserve">%. </w:t>
            </w:r>
          </w:p>
          <w:p w14:paraId="565ADBD2" w14:textId="78692FFC" w:rsidR="003E2159" w:rsidRPr="00502545" w:rsidRDefault="00252FAC" w:rsidP="003E21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 w:rsidRPr="00502545">
              <w:t>4</w:t>
            </w:r>
            <w:r w:rsidR="00286A71" w:rsidRPr="00502545">
              <w:t xml:space="preserve"> pup</w:t>
            </w:r>
            <w:r w:rsidR="00502545">
              <w:t xml:space="preserve">ils: 75% achieved expected in Word Reading. </w:t>
            </w:r>
          </w:p>
          <w:p w14:paraId="3E48D7F0" w14:textId="5D9EF65D" w:rsidR="00286A71" w:rsidRDefault="00252FAC" w:rsidP="003E21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>3</w:t>
            </w:r>
            <w:r w:rsidR="00286A71">
              <w:t xml:space="preserve"> pupils FSM in Year 1 and </w:t>
            </w:r>
            <w:r>
              <w:t>66</w:t>
            </w:r>
            <w:r w:rsidR="00286A71">
              <w:t>% achieved pass in phonics check</w:t>
            </w:r>
            <w:r>
              <w:t xml:space="preserve"> (1 pupil SEND)</w:t>
            </w:r>
            <w:r w:rsidR="00286A71">
              <w:t xml:space="preserve">. </w:t>
            </w:r>
          </w:p>
          <w:p w14:paraId="58553A89" w14:textId="27A226C5" w:rsidR="00286A71" w:rsidRPr="0002628F" w:rsidRDefault="00286A71" w:rsidP="00252FA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  <w:rPr>
                <w:i/>
                <w:iCs/>
              </w:rPr>
            </w:pPr>
            <w:r>
              <w:t xml:space="preserve">Phonics overall pass rate in line with national at </w:t>
            </w:r>
            <w:r w:rsidR="00252FAC">
              <w:t>97</w:t>
            </w:r>
            <w:r>
              <w:t>%</w:t>
            </w:r>
            <w:r w:rsidR="00252FAC">
              <w:t xml:space="preserve"> - the highest school has achieved. </w:t>
            </w:r>
          </w:p>
        </w:tc>
      </w:tr>
    </w:tbl>
    <w:p w14:paraId="1FC3D19F" w14:textId="77777777" w:rsidR="0075462C" w:rsidRDefault="0075462C" w:rsidP="0075462C">
      <w:pPr>
        <w:spacing w:after="0" w:line="240" w:lineRule="auto"/>
        <w:ind w:left="142"/>
      </w:pPr>
    </w:p>
    <w:tbl>
      <w:tblPr>
        <w:tblStyle w:val="TableGrid"/>
        <w:tblW w:w="10688" w:type="dxa"/>
        <w:tblInd w:w="421" w:type="dxa"/>
        <w:tblLook w:val="04A0" w:firstRow="1" w:lastRow="0" w:firstColumn="1" w:lastColumn="0" w:noHBand="0" w:noVBand="1"/>
      </w:tblPr>
      <w:tblGrid>
        <w:gridCol w:w="2551"/>
        <w:gridCol w:w="2552"/>
        <w:gridCol w:w="5585"/>
      </w:tblGrid>
      <w:tr w:rsidR="0075462C" w:rsidRPr="00CA2569" w14:paraId="54A1F7A2" w14:textId="77777777" w:rsidTr="007270CA">
        <w:trPr>
          <w:trHeight w:val="306"/>
        </w:trPr>
        <w:tc>
          <w:tcPr>
            <w:tcW w:w="10688" w:type="dxa"/>
            <w:gridSpan w:val="3"/>
            <w:shd w:val="clear" w:color="auto" w:fill="FF0000"/>
          </w:tcPr>
          <w:p w14:paraId="364D7583" w14:textId="77777777" w:rsidR="0075462C" w:rsidRPr="00CA2569" w:rsidRDefault="0075462C" w:rsidP="00FF7238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Wider Strategies for the Current Academic Year </w:t>
            </w:r>
          </w:p>
        </w:tc>
      </w:tr>
      <w:tr w:rsidR="00254B5D" w:rsidRPr="00CA2569" w14:paraId="6E230CC5" w14:textId="77777777" w:rsidTr="007270CA">
        <w:trPr>
          <w:trHeight w:val="294"/>
        </w:trPr>
        <w:tc>
          <w:tcPr>
            <w:tcW w:w="2551" w:type="dxa"/>
            <w:shd w:val="clear" w:color="auto" w:fill="F7CAAC" w:themeFill="accent2" w:themeFillTint="66"/>
          </w:tcPr>
          <w:p w14:paraId="64A5E1E8" w14:textId="77777777" w:rsidR="00254B5D" w:rsidRPr="00CA2569" w:rsidRDefault="00254B5D" w:rsidP="00254B5D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Measure 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14:paraId="7ED68CBE" w14:textId="15BA595B" w:rsidR="00254B5D" w:rsidRPr="00CA2569" w:rsidRDefault="00254B5D" w:rsidP="00254B5D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Activity</w:t>
            </w:r>
          </w:p>
        </w:tc>
        <w:tc>
          <w:tcPr>
            <w:tcW w:w="5585" w:type="dxa"/>
            <w:shd w:val="clear" w:color="auto" w:fill="F7CAAC" w:themeFill="accent2" w:themeFillTint="66"/>
          </w:tcPr>
          <w:p w14:paraId="4AD87C3D" w14:textId="2902AAF0" w:rsidR="00254B5D" w:rsidRPr="00CA2569" w:rsidRDefault="00254B5D" w:rsidP="00254B5D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Evaluation and Impact</w:t>
            </w:r>
          </w:p>
        </w:tc>
      </w:tr>
      <w:tr w:rsidR="00254B5D" w14:paraId="578B1290" w14:textId="77777777" w:rsidTr="007270CA">
        <w:trPr>
          <w:trHeight w:val="3872"/>
        </w:trPr>
        <w:tc>
          <w:tcPr>
            <w:tcW w:w="2551" w:type="dxa"/>
          </w:tcPr>
          <w:p w14:paraId="51ADCEE3" w14:textId="77777777" w:rsidR="00254B5D" w:rsidRDefault="00254B5D" w:rsidP="003F2CE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Priority 1:</w:t>
            </w:r>
          </w:p>
          <w:p w14:paraId="21B457DA" w14:textId="1339446D" w:rsidR="00254B5D" w:rsidRDefault="003F2CE4" w:rsidP="003F2CE4">
            <w:r>
              <w:t xml:space="preserve">To continue to deliver a comprehensive programme of targeted and universal interventions to address the barriers to learning derived from social, </w:t>
            </w:r>
            <w:proofErr w:type="gramStart"/>
            <w:r>
              <w:t>emotional</w:t>
            </w:r>
            <w:proofErr w:type="gramEnd"/>
            <w:r>
              <w:t xml:space="preserve"> and mental health. Achieved through additional Ed </w:t>
            </w:r>
            <w:proofErr w:type="spellStart"/>
            <w:r>
              <w:t>Pysch</w:t>
            </w:r>
            <w:proofErr w:type="spellEnd"/>
            <w:r>
              <w:t xml:space="preserve"> time, </w:t>
            </w:r>
            <w:proofErr w:type="spellStart"/>
            <w:r>
              <w:t>Pivatol</w:t>
            </w:r>
            <w:proofErr w:type="spellEnd"/>
            <w:r>
              <w:t xml:space="preserve"> Practise in behaviour training, ELSA support and Mental Health week. </w:t>
            </w:r>
          </w:p>
          <w:p w14:paraId="3F42D54A" w14:textId="77777777" w:rsidR="00254B5D" w:rsidRDefault="00254B5D" w:rsidP="00FF7238">
            <w:pPr>
              <w:spacing w:after="0" w:line="240" w:lineRule="auto"/>
              <w:ind w:left="142"/>
            </w:pPr>
          </w:p>
          <w:p w14:paraId="01FD41B1" w14:textId="7E7EB15F" w:rsidR="00254B5D" w:rsidRDefault="00254B5D" w:rsidP="00254B5D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£</w:t>
            </w:r>
            <w:r w:rsidR="003F2CE4">
              <w:rPr>
                <w:color w:val="FF0000"/>
                <w:sz w:val="24"/>
                <w:szCs w:val="24"/>
              </w:rPr>
              <w:t>3</w:t>
            </w:r>
            <w:r>
              <w:rPr>
                <w:color w:val="FF0000"/>
                <w:sz w:val="24"/>
                <w:szCs w:val="24"/>
              </w:rPr>
              <w:t>000</w:t>
            </w:r>
          </w:p>
          <w:p w14:paraId="13E6B4E8" w14:textId="1E9B1A0B" w:rsidR="00254B5D" w:rsidRPr="00B940A3" w:rsidRDefault="00254B5D" w:rsidP="00FF7238">
            <w:pPr>
              <w:spacing w:after="0" w:line="240" w:lineRule="auto"/>
              <w:ind w:left="142"/>
            </w:pPr>
          </w:p>
        </w:tc>
        <w:tc>
          <w:tcPr>
            <w:tcW w:w="2552" w:type="dxa"/>
          </w:tcPr>
          <w:p w14:paraId="47B49678" w14:textId="5FD21538" w:rsidR="007E462B" w:rsidRDefault="007E462B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>Use</w:t>
            </w:r>
            <w:r w:rsidR="006E4E48">
              <w:t>d</w:t>
            </w:r>
            <w:r>
              <w:t xml:space="preserve"> Health Box workshops for</w:t>
            </w:r>
            <w:r w:rsidR="006E4E48">
              <w:t xml:space="preserve"> </w:t>
            </w:r>
            <w:r>
              <w:t>1 to 1 counselling</w:t>
            </w:r>
            <w:r w:rsidR="006E4E48">
              <w:t xml:space="preserve">. </w:t>
            </w:r>
          </w:p>
          <w:p w14:paraId="5370B8B6" w14:textId="77777777" w:rsidR="007E462B" w:rsidRDefault="007E462B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>Teacher led nurture groups</w:t>
            </w:r>
          </w:p>
          <w:p w14:paraId="5954962A" w14:textId="77777777" w:rsidR="00254B5D" w:rsidRDefault="006E4E48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>Bought into m</w:t>
            </w:r>
            <w:r w:rsidR="007E462B">
              <w:t xml:space="preserve">indfulness </w:t>
            </w:r>
            <w:r>
              <w:t>p</w:t>
            </w:r>
            <w:r w:rsidR="007E462B">
              <w:t>rogram</w:t>
            </w:r>
            <w:r>
              <w:t xml:space="preserve"> to be delivered in class. </w:t>
            </w:r>
          </w:p>
          <w:p w14:paraId="3ADE9229" w14:textId="77777777" w:rsidR="00441C41" w:rsidRDefault="00441C41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 xml:space="preserve">SHINE group intervention for vulnerable families. </w:t>
            </w:r>
          </w:p>
          <w:p w14:paraId="7246C6BD" w14:textId="77777777" w:rsidR="00441C41" w:rsidRDefault="00441C41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 xml:space="preserve">Calm to Chaos parental workshops. </w:t>
            </w:r>
          </w:p>
          <w:p w14:paraId="5CB7ED95" w14:textId="77777777" w:rsidR="00441C41" w:rsidRDefault="00441C41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>Timid Tiger parental workshops for behavioural management strategies.</w:t>
            </w:r>
          </w:p>
          <w:p w14:paraId="71E9A21A" w14:textId="6F809A07" w:rsidR="006E4E48" w:rsidRPr="00B940A3" w:rsidRDefault="00441C41" w:rsidP="007E462B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 xml:space="preserve">Therapy Dog </w:t>
            </w:r>
            <w:r w:rsidR="006E4E48">
              <w:t xml:space="preserve"> </w:t>
            </w:r>
          </w:p>
        </w:tc>
        <w:tc>
          <w:tcPr>
            <w:tcW w:w="5585" w:type="dxa"/>
          </w:tcPr>
          <w:p w14:paraId="27FF53CA" w14:textId="77777777" w:rsidR="00254B5D" w:rsidRDefault="002761F1" w:rsidP="002761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7 pupils received 1 to 1 tuition over the year. </w:t>
            </w:r>
          </w:p>
          <w:p w14:paraId="1894D032" w14:textId="35F30BE3" w:rsidR="002761F1" w:rsidRDefault="002761F1" w:rsidP="002761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SHINE clubs which involved families and talking therapy for 5 pupils with mental health champion. </w:t>
            </w:r>
          </w:p>
          <w:p w14:paraId="29E9ABAD" w14:textId="77777777" w:rsidR="002761F1" w:rsidRDefault="002761F1" w:rsidP="002761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Groups up to 8 children took part in gardening club. </w:t>
            </w:r>
          </w:p>
          <w:p w14:paraId="6FCC4D97" w14:textId="77777777" w:rsidR="002761F1" w:rsidRDefault="002761F1" w:rsidP="002761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All classes now have access to mindfulness activities. The use of this needs to be embedded next year. </w:t>
            </w:r>
          </w:p>
          <w:p w14:paraId="7E4927DC" w14:textId="7BF8A86A" w:rsidR="004E11A2" w:rsidRPr="00B940A3" w:rsidRDefault="004E11A2" w:rsidP="002761F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2 pupils had EBSN support for their attendance. Our persistent absence figure halved to </w:t>
            </w:r>
            <w:r w:rsidR="00252FAC">
              <w:t xml:space="preserve">10.79%. </w:t>
            </w:r>
          </w:p>
        </w:tc>
      </w:tr>
      <w:tr w:rsidR="00254B5D" w14:paraId="42BC83F0" w14:textId="77777777" w:rsidTr="007270CA">
        <w:trPr>
          <w:trHeight w:val="1519"/>
        </w:trPr>
        <w:tc>
          <w:tcPr>
            <w:tcW w:w="2551" w:type="dxa"/>
          </w:tcPr>
          <w:p w14:paraId="0D541108" w14:textId="77777777" w:rsidR="00254B5D" w:rsidRDefault="00254B5D" w:rsidP="00FF7238">
            <w:pPr>
              <w:spacing w:after="0" w:line="240" w:lineRule="auto"/>
              <w:ind w:left="14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Priority 2: </w:t>
            </w:r>
          </w:p>
          <w:p w14:paraId="223EE082" w14:textId="77777777" w:rsidR="00254B5D" w:rsidRDefault="00254B5D" w:rsidP="00FF7238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B940A3">
              <w:t>To give total access to the curriculum and ensure fully inclusive which positively impacts on pupils’ self-esteem</w:t>
            </w:r>
            <w:r>
              <w:rPr>
                <w:sz w:val="24"/>
                <w:szCs w:val="24"/>
              </w:rPr>
              <w:t xml:space="preserve">. </w:t>
            </w:r>
          </w:p>
          <w:p w14:paraId="30A0250E" w14:textId="77777777" w:rsidR="00254B5D" w:rsidRDefault="00254B5D" w:rsidP="00FF7238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14:paraId="0ABA6979" w14:textId="10B36E46" w:rsidR="00254B5D" w:rsidRDefault="00254B5D" w:rsidP="00254B5D">
            <w:pPr>
              <w:spacing w:after="0" w:line="240" w:lineRule="auto"/>
              <w:ind w:hanging="1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£</w:t>
            </w:r>
            <w:r w:rsidR="00441C41">
              <w:rPr>
                <w:color w:val="FF0000"/>
                <w:sz w:val="24"/>
                <w:szCs w:val="24"/>
              </w:rPr>
              <w:t>3378</w:t>
            </w:r>
          </w:p>
          <w:p w14:paraId="6D1E16E7" w14:textId="6137B178" w:rsidR="00254B5D" w:rsidRPr="00333EE9" w:rsidRDefault="00254B5D" w:rsidP="00FF7238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E9313B" w14:textId="5FDF289E" w:rsidR="006E4E48" w:rsidRDefault="006E4E48" w:rsidP="006E4E48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 w:rsidRPr="006D43AC">
              <w:t>Identif</w:t>
            </w:r>
            <w:r>
              <w:t>ied</w:t>
            </w:r>
            <w:r w:rsidRPr="006D43AC">
              <w:t xml:space="preserve"> enrichment opportunities in the form of school clubs</w:t>
            </w:r>
            <w:r>
              <w:t xml:space="preserve">. </w:t>
            </w:r>
          </w:p>
          <w:p w14:paraId="0F261FBA" w14:textId="67686FA6" w:rsidR="006E4E48" w:rsidRDefault="006E4E48" w:rsidP="006E4E48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 xml:space="preserve">Funded Residentials for pupils in Yr4, </w:t>
            </w:r>
            <w:proofErr w:type="spellStart"/>
            <w:r>
              <w:t>Yr</w:t>
            </w:r>
            <w:proofErr w:type="spellEnd"/>
            <w:r>
              <w:t xml:space="preserve"> 5 and </w:t>
            </w:r>
            <w:proofErr w:type="spellStart"/>
            <w:r>
              <w:t>Yr</w:t>
            </w:r>
            <w:proofErr w:type="spellEnd"/>
            <w:r>
              <w:t xml:space="preserve"> 6. </w:t>
            </w:r>
          </w:p>
          <w:p w14:paraId="2C9024BF" w14:textId="4D5521E3" w:rsidR="006E4E48" w:rsidRDefault="006E4E48" w:rsidP="006E4E48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 xml:space="preserve">Bought uniform and PE kit for </w:t>
            </w:r>
            <w:r w:rsidR="00441C41">
              <w:t xml:space="preserve">disadvantaged </w:t>
            </w:r>
            <w:r>
              <w:t xml:space="preserve">pupils. </w:t>
            </w:r>
          </w:p>
          <w:p w14:paraId="4694BE6E" w14:textId="0B540CA8" w:rsidR="006E4E48" w:rsidRDefault="006E4E48" w:rsidP="006E4E48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>Offered music lessons via Music for Life</w:t>
            </w:r>
            <w:r w:rsidR="00441C41">
              <w:t xml:space="preserve"> for </w:t>
            </w:r>
            <w:proofErr w:type="spellStart"/>
            <w:r w:rsidR="00441C41">
              <w:t>Yr</w:t>
            </w:r>
            <w:proofErr w:type="spellEnd"/>
            <w:r w:rsidR="00441C41">
              <w:t xml:space="preserve"> 6 pupils</w:t>
            </w:r>
          </w:p>
          <w:p w14:paraId="5437F149" w14:textId="7BEC64DF" w:rsidR="006E4E48" w:rsidRDefault="006E4E48" w:rsidP="006E4E48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 xml:space="preserve">Strings in Year 5 </w:t>
            </w:r>
          </w:p>
          <w:p w14:paraId="4A89449D" w14:textId="435570C9" w:rsidR="00254B5D" w:rsidRPr="00B940A3" w:rsidRDefault="006E4E48" w:rsidP="00441C41">
            <w:pPr>
              <w:pStyle w:val="ListParagraph"/>
              <w:numPr>
                <w:ilvl w:val="0"/>
                <w:numId w:val="6"/>
              </w:numPr>
              <w:ind w:left="177" w:hanging="177"/>
            </w:pPr>
            <w:r>
              <w:t>Funded trips for disadvantaged pupils.</w:t>
            </w:r>
          </w:p>
        </w:tc>
        <w:tc>
          <w:tcPr>
            <w:tcW w:w="5585" w:type="dxa"/>
          </w:tcPr>
          <w:p w14:paraId="6BE99031" w14:textId="77777777" w:rsidR="00254B5D" w:rsidRDefault="00286A71" w:rsidP="00286A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No disadvantaged pupil missed a residential or school trip. </w:t>
            </w:r>
          </w:p>
          <w:p w14:paraId="316A3D19" w14:textId="77777777" w:rsidR="00286A71" w:rsidRDefault="00286A71" w:rsidP="00286A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Disadvantaged pupils had access to 5 weekly sports clubs throughout the whole academic year. </w:t>
            </w:r>
          </w:p>
          <w:p w14:paraId="23B3C5EB" w14:textId="2F6AC651" w:rsidR="00286A71" w:rsidRPr="00B940A3" w:rsidRDefault="00286A71" w:rsidP="00286A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2" w:hanging="172"/>
            </w:pPr>
            <w:r>
              <w:t xml:space="preserve">Where needed, all disadvantaged pupils were supported with uniform, food banks, Christmas gifts and food vouchers over the holiday periods. </w:t>
            </w:r>
          </w:p>
        </w:tc>
      </w:tr>
    </w:tbl>
    <w:p w14:paraId="1ED04CCA" w14:textId="77777777" w:rsidR="0075462C" w:rsidRDefault="0075462C" w:rsidP="0075462C">
      <w:pPr>
        <w:rPr>
          <w:b/>
          <w:bCs/>
          <w:sz w:val="32"/>
          <w:szCs w:val="32"/>
          <w:u w:val="single"/>
        </w:rPr>
      </w:pPr>
    </w:p>
    <w:p w14:paraId="6BE89B4E" w14:textId="77777777" w:rsidR="0075462C" w:rsidRPr="005D555F" w:rsidRDefault="0075462C" w:rsidP="0075462C">
      <w:pPr>
        <w:rPr>
          <w:b/>
          <w:bCs/>
          <w:sz w:val="32"/>
          <w:szCs w:val="32"/>
          <w:u w:val="single"/>
        </w:rPr>
      </w:pPr>
    </w:p>
    <w:p w14:paraId="15FA8686" w14:textId="77777777" w:rsidR="0094764D" w:rsidRDefault="0094764D" w:rsidP="0075462C">
      <w:pPr>
        <w:ind w:left="-142"/>
      </w:pPr>
    </w:p>
    <w:sectPr w:rsidR="0094764D" w:rsidSect="0075462C">
      <w:pgSz w:w="11906" w:h="16838"/>
      <w:pgMar w:top="709" w:right="707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5F3B"/>
    <w:multiLevelType w:val="hybridMultilevel"/>
    <w:tmpl w:val="C382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A10"/>
    <w:multiLevelType w:val="hybridMultilevel"/>
    <w:tmpl w:val="6CB86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0901"/>
    <w:multiLevelType w:val="hybridMultilevel"/>
    <w:tmpl w:val="16AE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E6E4B"/>
    <w:multiLevelType w:val="hybridMultilevel"/>
    <w:tmpl w:val="F6D86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044D"/>
    <w:multiLevelType w:val="hybridMultilevel"/>
    <w:tmpl w:val="536C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2216E"/>
    <w:multiLevelType w:val="hybridMultilevel"/>
    <w:tmpl w:val="42B8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7562"/>
    <w:multiLevelType w:val="hybridMultilevel"/>
    <w:tmpl w:val="E4A2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37CAE"/>
    <w:multiLevelType w:val="hybridMultilevel"/>
    <w:tmpl w:val="6BCE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12F82"/>
    <w:multiLevelType w:val="hybridMultilevel"/>
    <w:tmpl w:val="6FA2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2C"/>
    <w:rsid w:val="0002628F"/>
    <w:rsid w:val="000A0DC5"/>
    <w:rsid w:val="00132535"/>
    <w:rsid w:val="00252FAC"/>
    <w:rsid w:val="00254B5D"/>
    <w:rsid w:val="002761F1"/>
    <w:rsid w:val="00286A71"/>
    <w:rsid w:val="003E2159"/>
    <w:rsid w:val="003F2CE4"/>
    <w:rsid w:val="003F5557"/>
    <w:rsid w:val="00441C41"/>
    <w:rsid w:val="004E11A2"/>
    <w:rsid w:val="00502545"/>
    <w:rsid w:val="005A03EA"/>
    <w:rsid w:val="005C20CF"/>
    <w:rsid w:val="005F16D4"/>
    <w:rsid w:val="005F43B3"/>
    <w:rsid w:val="00664511"/>
    <w:rsid w:val="006E4E48"/>
    <w:rsid w:val="007270CA"/>
    <w:rsid w:val="00740C25"/>
    <w:rsid w:val="0075462C"/>
    <w:rsid w:val="007E462B"/>
    <w:rsid w:val="00821A98"/>
    <w:rsid w:val="008855AE"/>
    <w:rsid w:val="008910AE"/>
    <w:rsid w:val="0094764D"/>
    <w:rsid w:val="009A3608"/>
    <w:rsid w:val="00A65BE7"/>
    <w:rsid w:val="00E37DB2"/>
    <w:rsid w:val="00F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B785"/>
  <w15:chartTrackingRefBased/>
  <w15:docId w15:val="{2B131DCA-A7D5-475C-BAC3-1EEFE6CF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2C"/>
    <w:pPr>
      <w:spacing w:after="200" w:line="276" w:lineRule="auto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uiPriority w:val="99"/>
    <w:rsid w:val="0075462C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</w:pPr>
    <w:rPr>
      <w:rFonts w:ascii="Arial Black" w:eastAsia="Times New Roman" w:hAnsi="Arial Black" w:cs="Arial Black"/>
      <w:color w:val="FFFFFF"/>
      <w:lang w:val="en-US"/>
    </w:rPr>
  </w:style>
  <w:style w:type="paragraph" w:styleId="ListParagraph">
    <w:name w:val="List Paragraph"/>
    <w:basedOn w:val="Normal"/>
    <w:uiPriority w:val="34"/>
    <w:qFormat/>
    <w:rsid w:val="0075462C"/>
    <w:pPr>
      <w:ind w:left="720"/>
      <w:contextualSpacing/>
    </w:pPr>
  </w:style>
  <w:style w:type="table" w:styleId="TableGrid">
    <w:name w:val="Table Grid"/>
    <w:basedOn w:val="TableNormal"/>
    <w:uiPriority w:val="39"/>
    <w:rsid w:val="0075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Farndon Primary Head</dc:creator>
  <cp:keywords/>
  <dc:description/>
  <cp:lastModifiedBy>Farndon Primary Head</cp:lastModifiedBy>
  <cp:revision>2</cp:revision>
  <dcterms:created xsi:type="dcterms:W3CDTF">2024-09-19T08:41:00Z</dcterms:created>
  <dcterms:modified xsi:type="dcterms:W3CDTF">2024-09-19T08:41:00Z</dcterms:modified>
</cp:coreProperties>
</file>